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topLinePunct w:val="0"/>
        <w:bidi w:val="0"/>
        <w:spacing w:line="560" w:lineRule="exact"/>
        <w:jc w:val="center"/>
        <w:rPr>
          <w:rFonts w:hint="eastAsia" w:ascii="宋体" w:hAnsi="宋体" w:cs="宋体"/>
          <w:bCs/>
          <w:sz w:val="44"/>
          <w:szCs w:val="44"/>
          <w:u w:val="single"/>
          <w:lang w:eastAsia="zh-CN"/>
        </w:rPr>
      </w:pPr>
      <w:bookmarkStart w:id="0" w:name="_Toc217446030"/>
      <w:bookmarkStart w:id="1" w:name="_Toc183682338"/>
      <w:bookmarkStart w:id="317" w:name="_GoBack"/>
      <w:bookmarkEnd w:id="317"/>
      <w:r>
        <w:rPr>
          <w:rFonts w:hint="eastAsia" w:ascii="宋体" w:hAnsi="宋体" w:cs="宋体"/>
          <w:bCs/>
          <w:sz w:val="44"/>
          <w:szCs w:val="44"/>
          <w:u w:val="single"/>
          <w:lang w:val="en-US" w:eastAsia="zh-CN"/>
        </w:rPr>
        <w:t>广元燃机工程建设期生活用房家</w:t>
      </w:r>
      <w:r>
        <w:rPr>
          <w:rFonts w:hint="eastAsia" w:ascii="宋体" w:hAnsi="宋体" w:cs="宋体"/>
          <w:bCs/>
          <w:sz w:val="44"/>
          <w:szCs w:val="44"/>
          <w:u w:val="single"/>
          <w:lang w:eastAsia="zh-CN"/>
        </w:rPr>
        <w:t>具</w:t>
      </w:r>
    </w:p>
    <w:p>
      <w:pPr>
        <w:kinsoku/>
        <w:overflowPunct/>
        <w:topLinePunct w:val="0"/>
        <w:bidi w:val="0"/>
        <w:spacing w:line="560" w:lineRule="exact"/>
        <w:jc w:val="center"/>
        <w:rPr>
          <w:rFonts w:hint="default" w:ascii="宋体" w:hAnsi="宋体" w:cs="宋体"/>
          <w:bCs/>
          <w:sz w:val="44"/>
          <w:szCs w:val="44"/>
          <w:lang w:val="en-US"/>
        </w:rPr>
      </w:pPr>
      <w:r>
        <w:rPr>
          <w:rFonts w:hint="eastAsia" w:ascii="宋体" w:hAnsi="宋体" w:cs="宋体"/>
          <w:bCs/>
          <w:sz w:val="44"/>
          <w:szCs w:val="44"/>
          <w:u w:val="single"/>
          <w:lang w:eastAsia="zh-CN"/>
        </w:rPr>
        <w:t>采购</w:t>
      </w:r>
      <w:r>
        <w:rPr>
          <w:rFonts w:hint="eastAsia" w:ascii="宋体" w:hAnsi="宋体" w:cs="宋体"/>
          <w:bCs/>
          <w:sz w:val="44"/>
          <w:szCs w:val="44"/>
          <w:u w:val="single"/>
          <w:lang w:val="en-US" w:eastAsia="zh-CN"/>
        </w:rPr>
        <w:t>项目</w:t>
      </w:r>
    </w:p>
    <w:p>
      <w:pPr>
        <w:kinsoku/>
        <w:overflowPunct/>
        <w:topLinePunct w:val="0"/>
        <w:bidi w:val="0"/>
        <w:spacing w:line="560" w:lineRule="exact"/>
        <w:jc w:val="center"/>
        <w:rPr>
          <w:rFonts w:ascii="宋体" w:hAnsi="宋体" w:cs="宋体"/>
          <w:bCs/>
          <w:sz w:val="44"/>
          <w:szCs w:val="44"/>
        </w:rPr>
      </w:pPr>
    </w:p>
    <w:p>
      <w:pPr>
        <w:kinsoku/>
        <w:overflowPunct/>
        <w:topLinePunct w:val="0"/>
        <w:bidi w:val="0"/>
        <w:spacing w:line="560" w:lineRule="exact"/>
        <w:jc w:val="center"/>
        <w:rPr>
          <w:rFonts w:ascii="宋体" w:hAnsi="宋体" w:cs="宋体"/>
          <w:bCs/>
          <w:sz w:val="44"/>
          <w:szCs w:val="44"/>
        </w:rPr>
      </w:pPr>
    </w:p>
    <w:p>
      <w:pPr>
        <w:kinsoku/>
        <w:overflowPunct/>
        <w:topLinePunct w:val="0"/>
        <w:bidi w:val="0"/>
        <w:adjustRightInd w:val="0"/>
        <w:snapToGrid w:val="0"/>
        <w:spacing w:line="560" w:lineRule="exact"/>
        <w:jc w:val="center"/>
        <w:rPr>
          <w:rFonts w:ascii="方正小标宋简体" w:eastAsia="方正小标宋简体"/>
          <w:sz w:val="52"/>
          <w:szCs w:val="44"/>
        </w:rPr>
      </w:pPr>
      <w:r>
        <w:rPr>
          <w:rFonts w:hint="eastAsia" w:ascii="方正小标宋简体" w:eastAsia="方正小标宋简体"/>
          <w:sz w:val="52"/>
          <w:szCs w:val="44"/>
        </w:rPr>
        <w:t>竞争性谈判文件</w:t>
      </w: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hint="eastAsia" w:ascii="宋体" w:hAnsi="宋体" w:cs="宋体"/>
          <w:sz w:val="44"/>
          <w:szCs w:val="44"/>
        </w:rPr>
      </w:pPr>
    </w:p>
    <w:p>
      <w:pPr>
        <w:kinsoku/>
        <w:overflowPunct/>
        <w:topLinePunct w:val="0"/>
        <w:bidi w:val="0"/>
        <w:spacing w:line="560" w:lineRule="exact"/>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sz w:val="44"/>
          <w:szCs w:val="44"/>
          <w:lang w:eastAsia="zh-CN"/>
        </w:rPr>
      </w:pPr>
      <w:r>
        <w:rPr>
          <w:rFonts w:hint="eastAsia" w:ascii="宋体" w:hAnsi="宋体" w:cs="宋体"/>
          <w:sz w:val="44"/>
          <w:szCs w:val="44"/>
        </w:rPr>
        <w:t>采购人：</w:t>
      </w:r>
      <w:r>
        <w:rPr>
          <w:rFonts w:hint="eastAsia" w:ascii="宋体" w:hAnsi="宋体"/>
          <w:sz w:val="44"/>
          <w:szCs w:val="44"/>
          <w:u w:val="single"/>
          <w:lang w:eastAsia="zh-CN"/>
        </w:rPr>
        <w:t>四川能投</w:t>
      </w:r>
      <w:r>
        <w:rPr>
          <w:rFonts w:hint="eastAsia" w:ascii="宋体" w:hAnsi="宋体"/>
          <w:sz w:val="44"/>
          <w:szCs w:val="44"/>
          <w:u w:val="single"/>
          <w:lang w:val="en-US" w:eastAsia="zh-CN"/>
        </w:rPr>
        <w:t>广元燃气发电</w:t>
      </w:r>
      <w:r>
        <w:rPr>
          <w:rFonts w:hint="eastAsia" w:ascii="宋体" w:hAnsi="宋体"/>
          <w:sz w:val="44"/>
          <w:szCs w:val="44"/>
          <w:u w:val="single"/>
          <w:lang w:eastAsia="zh-CN"/>
        </w:rPr>
        <w:t>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32"/>
          <w:szCs w:val="32"/>
        </w:rPr>
      </w:pPr>
      <w:r>
        <w:rPr>
          <w:rFonts w:ascii="宋体" w:hAnsi="宋体"/>
          <w:sz w:val="44"/>
          <w:szCs w:val="44"/>
          <w:u w:val="single"/>
        </w:rPr>
        <w:t xml:space="preserve"> </w:t>
      </w:r>
      <w:r>
        <w:rPr>
          <w:rFonts w:hint="eastAsia" w:ascii="宋体" w:hAnsi="宋体"/>
          <w:sz w:val="44"/>
          <w:szCs w:val="44"/>
          <w:u w:val="single"/>
          <w:lang w:val="en-US" w:eastAsia="zh-CN"/>
        </w:rPr>
        <w:t xml:space="preserve">2022 </w:t>
      </w:r>
      <w:r>
        <w:rPr>
          <w:rFonts w:hint="eastAsia" w:ascii="宋体" w:hAnsi="宋体"/>
          <w:sz w:val="44"/>
          <w:szCs w:val="44"/>
        </w:rPr>
        <w:t>年</w:t>
      </w:r>
      <w:r>
        <w:rPr>
          <w:rFonts w:ascii="宋体" w:hAnsi="宋体"/>
          <w:sz w:val="44"/>
          <w:szCs w:val="44"/>
          <w:u w:val="single"/>
        </w:rPr>
        <w:t xml:space="preserve"> </w:t>
      </w:r>
      <w:r>
        <w:rPr>
          <w:rFonts w:hint="eastAsia" w:ascii="宋体" w:hAnsi="宋体"/>
          <w:sz w:val="44"/>
          <w:szCs w:val="44"/>
          <w:u w:val="single"/>
          <w:lang w:val="en-US" w:eastAsia="zh-CN"/>
        </w:rPr>
        <w:t>5</w:t>
      </w:r>
      <w:r>
        <w:rPr>
          <w:rFonts w:ascii="宋体" w:hAnsi="宋体"/>
          <w:sz w:val="44"/>
          <w:szCs w:val="44"/>
          <w:u w:val="single"/>
        </w:rPr>
        <w:t xml:space="preserve"> </w:t>
      </w:r>
      <w:r>
        <w:rPr>
          <w:rFonts w:hint="eastAsia" w:ascii="宋体" w:hAnsi="宋体"/>
          <w:sz w:val="44"/>
          <w:szCs w:val="44"/>
        </w:rPr>
        <w:t>月</w:t>
      </w:r>
      <w:r>
        <w:rPr>
          <w:rFonts w:ascii="宋体" w:hAnsi="宋体"/>
          <w:sz w:val="44"/>
          <w:szCs w:val="44"/>
          <w:u w:val="single"/>
        </w:rPr>
        <w:t xml:space="preserve"> </w:t>
      </w:r>
      <w:r>
        <w:rPr>
          <w:rFonts w:hint="eastAsia" w:ascii="宋体" w:hAnsi="宋体"/>
          <w:sz w:val="44"/>
          <w:szCs w:val="44"/>
          <w:u w:val="single"/>
          <w:lang w:val="en-US" w:eastAsia="zh-CN"/>
        </w:rPr>
        <w:t>11</w:t>
      </w:r>
      <w:r>
        <w:rPr>
          <w:rFonts w:ascii="宋体" w:hAnsi="宋体"/>
          <w:sz w:val="44"/>
          <w:szCs w:val="44"/>
          <w:u w:val="single"/>
        </w:rPr>
        <w:t xml:space="preserve"> </w:t>
      </w:r>
      <w:r>
        <w:rPr>
          <w:rFonts w:hint="eastAsia" w:ascii="宋体" w:hAnsi="宋体"/>
          <w:sz w:val="44"/>
          <w:szCs w:val="44"/>
        </w:rPr>
        <w:t>日</w:t>
      </w:r>
      <w:r>
        <w:rPr>
          <w:rFonts w:hint="eastAsia" w:ascii="宋体" w:hAnsi="宋体"/>
          <w:b/>
          <w:sz w:val="32"/>
          <w:szCs w:val="32"/>
        </w:rPr>
        <w:br w:type="page"/>
      </w:r>
      <w:bookmarkStart w:id="2" w:name="_Toc317508987"/>
      <w:bookmarkStart w:id="3" w:name="_Toc317509380"/>
      <w:bookmarkStart w:id="4" w:name="_Toc325464811"/>
    </w:p>
    <w:p>
      <w:pPr>
        <w:pStyle w:val="4"/>
        <w:kinsoku/>
        <w:overflowPunct/>
        <w:topLinePunct w:val="0"/>
        <w:bidi w:val="0"/>
        <w:spacing w:line="560" w:lineRule="exact"/>
        <w:jc w:val="center"/>
        <w:rPr>
          <w:bCs/>
          <w:sz w:val="44"/>
          <w:szCs w:val="44"/>
        </w:rPr>
      </w:pPr>
      <w:r>
        <w:rPr>
          <w:rFonts w:hint="eastAsia"/>
          <w:bCs/>
          <w:sz w:val="44"/>
          <w:szCs w:val="44"/>
        </w:rPr>
        <w:t>目    录</w:t>
      </w:r>
      <w:bookmarkEnd w:id="2"/>
      <w:bookmarkEnd w:id="3"/>
      <w:bookmarkEnd w:id="4"/>
    </w:p>
    <w:p>
      <w:pPr>
        <w:pStyle w:val="14"/>
        <w:kinsoku/>
        <w:overflowPunct/>
        <w:topLinePunct w:val="0"/>
        <w:bidi w:val="0"/>
        <w:spacing w:line="560" w:lineRule="exact"/>
        <w:ind w:firstLineChars="0"/>
        <w:rPr>
          <w:rFonts w:hint="eastAsia" w:cs="宋体"/>
          <w:b w:val="0"/>
          <w:kern w:val="44"/>
          <w:szCs w:val="24"/>
        </w:rPr>
      </w:pPr>
    </w:p>
    <w:p>
      <w:pPr>
        <w:pStyle w:val="14"/>
        <w:kinsoku/>
        <w:overflowPunct/>
        <w:topLinePunct w:val="0"/>
        <w:bidi w:val="0"/>
        <w:spacing w:line="560" w:lineRule="exact"/>
        <w:ind w:firstLineChars="0"/>
        <w:rPr>
          <w:rFonts w:cs="宋体"/>
          <w:b w:val="0"/>
          <w:kern w:val="44"/>
          <w:szCs w:val="24"/>
        </w:rPr>
      </w:pPr>
    </w:p>
    <w:p>
      <w:pPr>
        <w:pStyle w:val="14"/>
        <w:kinsoku/>
        <w:overflowPunct/>
        <w:topLinePunct w:val="0"/>
        <w:bidi w:val="0"/>
        <w:spacing w:line="560" w:lineRule="exact"/>
        <w:ind w:firstLine="282" w:firstLineChars="117"/>
        <w:rPr>
          <w:rFonts w:ascii="Calibri" w:hAnsi="Calibri"/>
          <w:b w:val="0"/>
          <w:caps w:val="0"/>
          <w:sz w:val="28"/>
          <w:szCs w:val="28"/>
        </w:rPr>
      </w:pPr>
      <w:r>
        <w:rPr>
          <w:rFonts w:cs="宋体"/>
          <w:caps w:val="0"/>
          <w:kern w:val="44"/>
          <w:szCs w:val="24"/>
        </w:rPr>
        <w:fldChar w:fldCharType="begin"/>
      </w:r>
      <w:r>
        <w:rPr>
          <w:rFonts w:cs="宋体"/>
          <w:caps w:val="0"/>
          <w:kern w:val="44"/>
          <w:szCs w:val="24"/>
        </w:rPr>
        <w:instrText xml:space="preserve"> </w:instrText>
      </w:r>
      <w:r>
        <w:rPr>
          <w:rFonts w:hint="eastAsia" w:cs="宋体"/>
          <w:caps w:val="0"/>
          <w:kern w:val="44"/>
          <w:szCs w:val="24"/>
        </w:rPr>
        <w:instrText xml:space="preserve">TOC \o "1-1" \h \z \u</w:instrText>
      </w:r>
      <w:r>
        <w:rPr>
          <w:rFonts w:cs="宋体"/>
          <w:caps w:val="0"/>
          <w:kern w:val="44"/>
          <w:szCs w:val="24"/>
        </w:rPr>
        <w:instrText xml:space="preserve"> </w:instrText>
      </w:r>
      <w:r>
        <w:rPr>
          <w:rFonts w:cs="宋体"/>
          <w:caps w:val="0"/>
          <w:kern w:val="44"/>
          <w:szCs w:val="24"/>
        </w:rPr>
        <w:fldChar w:fldCharType="separate"/>
      </w:r>
      <w:r>
        <w:rPr>
          <w:b w:val="0"/>
          <w:sz w:val="28"/>
          <w:szCs w:val="28"/>
        </w:rPr>
        <w:fldChar w:fldCharType="begin"/>
      </w:r>
      <w:r>
        <w:rPr>
          <w:rStyle w:val="20"/>
          <w:b w:val="0"/>
          <w:sz w:val="28"/>
          <w:szCs w:val="28"/>
        </w:rPr>
        <w:instrText xml:space="preserve"> </w:instrText>
      </w:r>
      <w:r>
        <w:rPr>
          <w:b w:val="0"/>
          <w:sz w:val="28"/>
          <w:szCs w:val="28"/>
        </w:rPr>
        <w:instrText xml:space="preserve">HYPERLINK \l "_Toc466206532"</w:instrText>
      </w:r>
      <w:r>
        <w:rPr>
          <w:rStyle w:val="20"/>
          <w:b w:val="0"/>
          <w:sz w:val="28"/>
          <w:szCs w:val="28"/>
        </w:rPr>
        <w:instrText xml:space="preserve"> </w:instrText>
      </w:r>
      <w:r>
        <w:rPr>
          <w:b w:val="0"/>
          <w:sz w:val="28"/>
          <w:szCs w:val="28"/>
        </w:rPr>
        <w:fldChar w:fldCharType="separate"/>
      </w:r>
      <w:r>
        <w:rPr>
          <w:rStyle w:val="20"/>
          <w:rFonts w:hint="eastAsia" w:cs="宋体"/>
          <w:b w:val="0"/>
          <w:sz w:val="28"/>
          <w:szCs w:val="28"/>
        </w:rPr>
        <w:t>第一章</w:t>
      </w:r>
      <w:r>
        <w:rPr>
          <w:rStyle w:val="20"/>
          <w:rFonts w:cs="宋体"/>
          <w:b w:val="0"/>
          <w:sz w:val="28"/>
          <w:szCs w:val="28"/>
        </w:rPr>
        <w:t xml:space="preserve">  </w:t>
      </w:r>
      <w:r>
        <w:rPr>
          <w:rStyle w:val="20"/>
          <w:rFonts w:hint="eastAsia" w:cs="宋体"/>
          <w:b w:val="0"/>
          <w:sz w:val="28"/>
          <w:szCs w:val="28"/>
        </w:rPr>
        <w:t>竞争性谈判公告</w:t>
      </w:r>
      <w:r>
        <w:rPr>
          <w:b w:val="0"/>
          <w:sz w:val="28"/>
          <w:szCs w:val="28"/>
        </w:rPr>
        <w:tab/>
      </w:r>
      <w:r>
        <w:rPr>
          <w:b w:val="0"/>
          <w:sz w:val="28"/>
          <w:szCs w:val="28"/>
        </w:rPr>
        <w:fldChar w:fldCharType="begin"/>
      </w:r>
      <w:r>
        <w:rPr>
          <w:b w:val="0"/>
          <w:sz w:val="28"/>
          <w:szCs w:val="28"/>
        </w:rPr>
        <w:instrText xml:space="preserve"> PAGEREF _Toc466206532 \h </w:instrText>
      </w:r>
      <w:r>
        <w:rPr>
          <w:b w:val="0"/>
          <w:sz w:val="28"/>
          <w:szCs w:val="28"/>
        </w:rPr>
        <w:fldChar w:fldCharType="separate"/>
      </w:r>
      <w:r>
        <w:rPr>
          <w:b w:val="0"/>
          <w:sz w:val="28"/>
          <w:szCs w:val="28"/>
        </w:rPr>
        <w:t>2</w:t>
      </w:r>
      <w:r>
        <w:rPr>
          <w:b w:val="0"/>
          <w:sz w:val="28"/>
          <w:szCs w:val="28"/>
        </w:rPr>
        <w:fldChar w:fldCharType="end"/>
      </w:r>
      <w:r>
        <w:rPr>
          <w:b w:val="0"/>
          <w:sz w:val="28"/>
          <w:szCs w:val="28"/>
        </w:rPr>
        <w:fldChar w:fldCharType="end"/>
      </w:r>
    </w:p>
    <w:p>
      <w:pPr>
        <w:pStyle w:val="14"/>
        <w:kinsoku/>
        <w:overflowPunct/>
        <w:topLinePunct w:val="0"/>
        <w:bidi w:val="0"/>
        <w:spacing w:line="560" w:lineRule="exact"/>
        <w:ind w:firstLine="280" w:firstLineChars="0"/>
        <w:rPr>
          <w:rFonts w:ascii="Calibri" w:hAnsi="Calibri"/>
          <w:b w:val="0"/>
          <w:caps w:val="0"/>
          <w:sz w:val="28"/>
          <w:szCs w:val="28"/>
        </w:rPr>
      </w:pPr>
      <w:r>
        <w:rPr>
          <w:b w:val="0"/>
          <w:sz w:val="28"/>
          <w:szCs w:val="28"/>
        </w:rPr>
        <w:fldChar w:fldCharType="begin"/>
      </w:r>
      <w:r>
        <w:rPr>
          <w:rStyle w:val="20"/>
          <w:b w:val="0"/>
          <w:sz w:val="28"/>
          <w:szCs w:val="28"/>
        </w:rPr>
        <w:instrText xml:space="preserve"> </w:instrText>
      </w:r>
      <w:r>
        <w:rPr>
          <w:b w:val="0"/>
          <w:sz w:val="28"/>
          <w:szCs w:val="28"/>
        </w:rPr>
        <w:instrText xml:space="preserve">HYPERLINK \l "_Toc466206534"</w:instrText>
      </w:r>
      <w:r>
        <w:rPr>
          <w:rStyle w:val="20"/>
          <w:b w:val="0"/>
          <w:sz w:val="28"/>
          <w:szCs w:val="28"/>
        </w:rPr>
        <w:instrText xml:space="preserve"> </w:instrText>
      </w:r>
      <w:r>
        <w:rPr>
          <w:b w:val="0"/>
          <w:sz w:val="28"/>
          <w:szCs w:val="28"/>
        </w:rPr>
        <w:fldChar w:fldCharType="separate"/>
      </w:r>
      <w:r>
        <w:rPr>
          <w:rStyle w:val="20"/>
          <w:rFonts w:hint="eastAsia" w:cs="宋体"/>
          <w:b w:val="0"/>
          <w:sz w:val="28"/>
          <w:szCs w:val="28"/>
        </w:rPr>
        <w:t>第二章</w:t>
      </w:r>
      <w:r>
        <w:rPr>
          <w:rStyle w:val="20"/>
          <w:rFonts w:cs="宋体"/>
          <w:b w:val="0"/>
          <w:sz w:val="28"/>
          <w:szCs w:val="28"/>
        </w:rPr>
        <w:t xml:space="preserve">  </w:t>
      </w:r>
      <w:r>
        <w:rPr>
          <w:rStyle w:val="20"/>
          <w:rFonts w:hint="eastAsia" w:cs="宋体"/>
          <w:b w:val="0"/>
          <w:sz w:val="28"/>
          <w:szCs w:val="28"/>
        </w:rPr>
        <w:t>谈判须知</w:t>
      </w:r>
      <w:r>
        <w:rPr>
          <w:b w:val="0"/>
          <w:sz w:val="28"/>
          <w:szCs w:val="28"/>
        </w:rPr>
        <w:tab/>
      </w:r>
      <w:r>
        <w:rPr>
          <w:b w:val="0"/>
          <w:sz w:val="28"/>
          <w:szCs w:val="28"/>
        </w:rPr>
        <w:fldChar w:fldCharType="begin"/>
      </w:r>
      <w:r>
        <w:rPr>
          <w:b w:val="0"/>
          <w:sz w:val="28"/>
          <w:szCs w:val="28"/>
        </w:rPr>
        <w:instrText xml:space="preserve"> PAGEREF _Toc466206534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14"/>
        <w:kinsoku/>
        <w:overflowPunct/>
        <w:topLinePunct w:val="0"/>
        <w:bidi w:val="0"/>
        <w:spacing w:line="560" w:lineRule="exact"/>
        <w:ind w:firstLine="280" w:firstLineChars="0"/>
        <w:rPr>
          <w:rFonts w:ascii="Calibri" w:hAnsi="Calibri"/>
          <w:b w:val="0"/>
          <w:caps w:val="0"/>
          <w:sz w:val="28"/>
          <w:szCs w:val="28"/>
        </w:rPr>
      </w:pPr>
      <w:r>
        <w:rPr>
          <w:b w:val="0"/>
          <w:sz w:val="28"/>
          <w:szCs w:val="28"/>
        </w:rPr>
        <w:fldChar w:fldCharType="begin"/>
      </w:r>
      <w:r>
        <w:rPr>
          <w:rStyle w:val="20"/>
          <w:b w:val="0"/>
          <w:sz w:val="28"/>
          <w:szCs w:val="28"/>
        </w:rPr>
        <w:instrText xml:space="preserve"> </w:instrText>
      </w:r>
      <w:r>
        <w:rPr>
          <w:b w:val="0"/>
          <w:sz w:val="28"/>
          <w:szCs w:val="28"/>
        </w:rPr>
        <w:instrText xml:space="preserve">HYPERLINK \l "_Toc466206535"</w:instrText>
      </w:r>
      <w:r>
        <w:rPr>
          <w:rStyle w:val="20"/>
          <w:b w:val="0"/>
          <w:sz w:val="28"/>
          <w:szCs w:val="28"/>
        </w:rPr>
        <w:instrText xml:space="preserve"> </w:instrText>
      </w:r>
      <w:r>
        <w:rPr>
          <w:b w:val="0"/>
          <w:sz w:val="28"/>
          <w:szCs w:val="28"/>
        </w:rPr>
        <w:fldChar w:fldCharType="separate"/>
      </w:r>
      <w:r>
        <w:rPr>
          <w:rStyle w:val="20"/>
          <w:rFonts w:hint="eastAsia"/>
          <w:b w:val="0"/>
          <w:sz w:val="28"/>
          <w:szCs w:val="28"/>
        </w:rPr>
        <w:t>第三章</w:t>
      </w:r>
      <w:r>
        <w:rPr>
          <w:rStyle w:val="20"/>
          <w:b w:val="0"/>
          <w:sz w:val="28"/>
          <w:szCs w:val="28"/>
        </w:rPr>
        <w:t xml:space="preserve">  </w:t>
      </w:r>
      <w:r>
        <w:rPr>
          <w:rStyle w:val="20"/>
          <w:rFonts w:hint="eastAsia"/>
          <w:b w:val="0"/>
          <w:sz w:val="28"/>
          <w:szCs w:val="28"/>
        </w:rPr>
        <w:t>评审办法</w:t>
      </w:r>
      <w:r>
        <w:rPr>
          <w:b w:val="0"/>
          <w:sz w:val="28"/>
          <w:szCs w:val="28"/>
        </w:rPr>
        <w:tab/>
      </w:r>
      <w:r>
        <w:rPr>
          <w:b w:val="0"/>
          <w:sz w:val="28"/>
          <w:szCs w:val="28"/>
        </w:rPr>
        <w:fldChar w:fldCharType="begin"/>
      </w:r>
      <w:r>
        <w:rPr>
          <w:b w:val="0"/>
          <w:sz w:val="28"/>
          <w:szCs w:val="28"/>
        </w:rPr>
        <w:instrText xml:space="preserve"> PAGEREF _Toc466206535 \h </w:instrText>
      </w:r>
      <w:r>
        <w:rPr>
          <w:b w:val="0"/>
          <w:sz w:val="28"/>
          <w:szCs w:val="28"/>
        </w:rPr>
        <w:fldChar w:fldCharType="separate"/>
      </w:r>
      <w:r>
        <w:rPr>
          <w:b w:val="0"/>
          <w:sz w:val="28"/>
          <w:szCs w:val="28"/>
        </w:rPr>
        <w:t>14</w:t>
      </w:r>
      <w:r>
        <w:rPr>
          <w:b w:val="0"/>
          <w:sz w:val="28"/>
          <w:szCs w:val="28"/>
        </w:rPr>
        <w:fldChar w:fldCharType="end"/>
      </w:r>
      <w:r>
        <w:rPr>
          <w:b w:val="0"/>
          <w:sz w:val="28"/>
          <w:szCs w:val="28"/>
        </w:rPr>
        <w:fldChar w:fldCharType="end"/>
      </w:r>
    </w:p>
    <w:p>
      <w:pPr>
        <w:pStyle w:val="14"/>
        <w:kinsoku/>
        <w:overflowPunct/>
        <w:topLinePunct w:val="0"/>
        <w:bidi w:val="0"/>
        <w:spacing w:line="560" w:lineRule="exact"/>
        <w:ind w:firstLine="280" w:firstLineChars="0"/>
        <w:rPr>
          <w:rFonts w:ascii="Calibri" w:hAnsi="Calibri"/>
          <w:b w:val="0"/>
          <w:caps w:val="0"/>
          <w:sz w:val="28"/>
          <w:szCs w:val="28"/>
        </w:rPr>
      </w:pPr>
      <w:r>
        <w:rPr>
          <w:b w:val="0"/>
          <w:sz w:val="28"/>
          <w:szCs w:val="28"/>
        </w:rPr>
        <w:fldChar w:fldCharType="begin"/>
      </w:r>
      <w:r>
        <w:rPr>
          <w:rStyle w:val="20"/>
          <w:b w:val="0"/>
          <w:sz w:val="28"/>
          <w:szCs w:val="28"/>
        </w:rPr>
        <w:instrText xml:space="preserve"> </w:instrText>
      </w:r>
      <w:r>
        <w:rPr>
          <w:b w:val="0"/>
          <w:sz w:val="28"/>
          <w:szCs w:val="28"/>
        </w:rPr>
        <w:instrText xml:space="preserve">HYPERLINK \l "_Toc466206536"</w:instrText>
      </w:r>
      <w:r>
        <w:rPr>
          <w:rStyle w:val="20"/>
          <w:b w:val="0"/>
          <w:sz w:val="28"/>
          <w:szCs w:val="28"/>
        </w:rPr>
        <w:instrText xml:space="preserve"> </w:instrText>
      </w:r>
      <w:r>
        <w:rPr>
          <w:b w:val="0"/>
          <w:sz w:val="28"/>
          <w:szCs w:val="28"/>
        </w:rPr>
        <w:fldChar w:fldCharType="separate"/>
      </w:r>
      <w:r>
        <w:rPr>
          <w:rStyle w:val="20"/>
          <w:rFonts w:hint="eastAsia" w:cs="宋体"/>
          <w:b w:val="0"/>
          <w:sz w:val="28"/>
          <w:szCs w:val="28"/>
        </w:rPr>
        <w:t>第四章</w:t>
      </w:r>
      <w:r>
        <w:rPr>
          <w:rStyle w:val="20"/>
          <w:rFonts w:cs="宋体"/>
          <w:b w:val="0"/>
          <w:sz w:val="28"/>
          <w:szCs w:val="28"/>
        </w:rPr>
        <w:t xml:space="preserve">  </w:t>
      </w:r>
      <w:r>
        <w:rPr>
          <w:rStyle w:val="20"/>
          <w:rFonts w:hint="eastAsia" w:cs="宋体"/>
          <w:b w:val="0"/>
          <w:sz w:val="28"/>
          <w:szCs w:val="28"/>
        </w:rPr>
        <w:t>合同条款及格式</w:t>
      </w:r>
      <w:r>
        <w:rPr>
          <w:b w:val="0"/>
          <w:sz w:val="28"/>
          <w:szCs w:val="28"/>
        </w:rPr>
        <w:tab/>
      </w:r>
      <w:r>
        <w:rPr>
          <w:b w:val="0"/>
          <w:sz w:val="28"/>
          <w:szCs w:val="28"/>
        </w:rPr>
        <w:fldChar w:fldCharType="begin"/>
      </w:r>
      <w:r>
        <w:rPr>
          <w:b w:val="0"/>
          <w:sz w:val="28"/>
          <w:szCs w:val="28"/>
        </w:rPr>
        <w:instrText xml:space="preserve"> PAGEREF _Toc466206536 \h </w:instrText>
      </w:r>
      <w:r>
        <w:rPr>
          <w:b w:val="0"/>
          <w:sz w:val="28"/>
          <w:szCs w:val="28"/>
        </w:rPr>
        <w:fldChar w:fldCharType="separate"/>
      </w:r>
      <w:r>
        <w:rPr>
          <w:b w:val="0"/>
          <w:sz w:val="28"/>
          <w:szCs w:val="28"/>
        </w:rPr>
        <w:t>17</w:t>
      </w:r>
      <w:r>
        <w:rPr>
          <w:b w:val="0"/>
          <w:sz w:val="28"/>
          <w:szCs w:val="28"/>
        </w:rPr>
        <w:fldChar w:fldCharType="end"/>
      </w:r>
      <w:r>
        <w:rPr>
          <w:b w:val="0"/>
          <w:sz w:val="28"/>
          <w:szCs w:val="28"/>
        </w:rPr>
        <w:fldChar w:fldCharType="end"/>
      </w:r>
    </w:p>
    <w:p>
      <w:pPr>
        <w:pStyle w:val="14"/>
        <w:kinsoku/>
        <w:overflowPunct/>
        <w:topLinePunct w:val="0"/>
        <w:bidi w:val="0"/>
        <w:spacing w:line="560" w:lineRule="exact"/>
        <w:ind w:firstLine="280" w:firstLineChars="0"/>
        <w:rPr>
          <w:rFonts w:ascii="Calibri" w:hAnsi="Calibri"/>
          <w:b w:val="0"/>
          <w:caps w:val="0"/>
          <w:sz w:val="28"/>
          <w:szCs w:val="28"/>
        </w:rPr>
      </w:pPr>
      <w:r>
        <w:rPr>
          <w:b w:val="0"/>
          <w:sz w:val="28"/>
          <w:szCs w:val="28"/>
        </w:rPr>
        <w:fldChar w:fldCharType="begin"/>
      </w:r>
      <w:r>
        <w:rPr>
          <w:rStyle w:val="20"/>
          <w:b w:val="0"/>
          <w:sz w:val="28"/>
          <w:szCs w:val="28"/>
        </w:rPr>
        <w:instrText xml:space="preserve"> </w:instrText>
      </w:r>
      <w:r>
        <w:rPr>
          <w:b w:val="0"/>
          <w:sz w:val="28"/>
          <w:szCs w:val="28"/>
        </w:rPr>
        <w:instrText xml:space="preserve">HYPERLINK \l "_Toc466206537"</w:instrText>
      </w:r>
      <w:r>
        <w:rPr>
          <w:rStyle w:val="20"/>
          <w:b w:val="0"/>
          <w:sz w:val="28"/>
          <w:szCs w:val="28"/>
        </w:rPr>
        <w:instrText xml:space="preserve"> </w:instrText>
      </w:r>
      <w:r>
        <w:rPr>
          <w:b w:val="0"/>
          <w:sz w:val="28"/>
          <w:szCs w:val="28"/>
        </w:rPr>
        <w:fldChar w:fldCharType="separate"/>
      </w:r>
      <w:r>
        <w:rPr>
          <w:rStyle w:val="20"/>
          <w:rFonts w:hint="eastAsia" w:cs="宋体"/>
          <w:b w:val="0"/>
          <w:sz w:val="28"/>
          <w:szCs w:val="28"/>
        </w:rPr>
        <w:t>第五章</w:t>
      </w:r>
      <w:r>
        <w:rPr>
          <w:rStyle w:val="20"/>
          <w:rFonts w:cs="宋体"/>
          <w:b w:val="0"/>
          <w:sz w:val="28"/>
          <w:szCs w:val="28"/>
        </w:rPr>
        <w:t xml:space="preserve">  </w:t>
      </w:r>
      <w:r>
        <w:rPr>
          <w:rStyle w:val="20"/>
          <w:rFonts w:hint="eastAsia" w:cs="宋体"/>
          <w:b w:val="0"/>
          <w:sz w:val="28"/>
          <w:szCs w:val="28"/>
        </w:rPr>
        <w:t>采购</w:t>
      </w:r>
      <w:r>
        <w:rPr>
          <w:rStyle w:val="20"/>
          <w:rFonts w:hint="eastAsia" w:cs="宋体"/>
          <w:b w:val="0"/>
          <w:sz w:val="28"/>
          <w:szCs w:val="28"/>
          <w:lang w:eastAsia="zh-CN"/>
        </w:rPr>
        <w:t>清单</w:t>
      </w:r>
      <w:r>
        <w:rPr>
          <w:b w:val="0"/>
          <w:sz w:val="28"/>
          <w:szCs w:val="28"/>
        </w:rPr>
        <w:tab/>
      </w:r>
      <w:r>
        <w:rPr>
          <w:b w:val="0"/>
          <w:sz w:val="28"/>
          <w:szCs w:val="28"/>
        </w:rPr>
        <w:fldChar w:fldCharType="begin"/>
      </w:r>
      <w:r>
        <w:rPr>
          <w:b w:val="0"/>
          <w:sz w:val="28"/>
          <w:szCs w:val="28"/>
        </w:rPr>
        <w:instrText xml:space="preserve"> PAGEREF _Toc466206537 \h </w:instrText>
      </w:r>
      <w:r>
        <w:rPr>
          <w:b w:val="0"/>
          <w:sz w:val="28"/>
          <w:szCs w:val="28"/>
        </w:rPr>
        <w:fldChar w:fldCharType="separate"/>
      </w:r>
      <w:r>
        <w:rPr>
          <w:b w:val="0"/>
          <w:sz w:val="28"/>
          <w:szCs w:val="28"/>
        </w:rPr>
        <w:t>26</w:t>
      </w:r>
      <w:r>
        <w:rPr>
          <w:b w:val="0"/>
          <w:sz w:val="28"/>
          <w:szCs w:val="28"/>
        </w:rPr>
        <w:fldChar w:fldCharType="end"/>
      </w:r>
      <w:r>
        <w:rPr>
          <w:b w:val="0"/>
          <w:sz w:val="28"/>
          <w:szCs w:val="28"/>
        </w:rPr>
        <w:fldChar w:fldCharType="end"/>
      </w:r>
    </w:p>
    <w:p>
      <w:pPr>
        <w:pStyle w:val="14"/>
        <w:kinsoku/>
        <w:overflowPunct/>
        <w:topLinePunct w:val="0"/>
        <w:bidi w:val="0"/>
        <w:spacing w:line="560" w:lineRule="exact"/>
        <w:ind w:firstLine="280" w:firstLineChars="0"/>
        <w:rPr>
          <w:rFonts w:ascii="Calibri" w:hAnsi="Calibri"/>
          <w:b w:val="0"/>
          <w:caps w:val="0"/>
          <w:sz w:val="28"/>
          <w:szCs w:val="28"/>
        </w:rPr>
      </w:pPr>
      <w:r>
        <w:rPr>
          <w:b w:val="0"/>
          <w:sz w:val="28"/>
          <w:szCs w:val="28"/>
        </w:rPr>
        <w:fldChar w:fldCharType="begin"/>
      </w:r>
      <w:r>
        <w:rPr>
          <w:rStyle w:val="20"/>
          <w:b w:val="0"/>
          <w:sz w:val="28"/>
          <w:szCs w:val="28"/>
        </w:rPr>
        <w:instrText xml:space="preserve"> </w:instrText>
      </w:r>
      <w:r>
        <w:rPr>
          <w:b w:val="0"/>
          <w:sz w:val="28"/>
          <w:szCs w:val="28"/>
        </w:rPr>
        <w:instrText xml:space="preserve">HYPERLINK \l "_Toc466206538"</w:instrText>
      </w:r>
      <w:r>
        <w:rPr>
          <w:rStyle w:val="20"/>
          <w:b w:val="0"/>
          <w:sz w:val="28"/>
          <w:szCs w:val="28"/>
        </w:rPr>
        <w:instrText xml:space="preserve"> </w:instrText>
      </w:r>
      <w:r>
        <w:rPr>
          <w:b w:val="0"/>
          <w:sz w:val="28"/>
          <w:szCs w:val="28"/>
        </w:rPr>
        <w:fldChar w:fldCharType="separate"/>
      </w:r>
      <w:r>
        <w:rPr>
          <w:rStyle w:val="20"/>
          <w:rFonts w:hint="eastAsia" w:cs="宋体"/>
          <w:b w:val="0"/>
          <w:sz w:val="28"/>
          <w:szCs w:val="28"/>
        </w:rPr>
        <w:t>第六章</w:t>
      </w:r>
      <w:r>
        <w:rPr>
          <w:rStyle w:val="20"/>
          <w:rFonts w:cs="宋体"/>
          <w:b w:val="0"/>
          <w:sz w:val="28"/>
          <w:szCs w:val="28"/>
        </w:rPr>
        <w:t xml:space="preserve">  </w:t>
      </w:r>
      <w:r>
        <w:rPr>
          <w:rStyle w:val="20"/>
          <w:rFonts w:hint="eastAsia" w:cs="宋体"/>
          <w:b w:val="0"/>
          <w:sz w:val="28"/>
          <w:szCs w:val="28"/>
        </w:rPr>
        <w:t>响应文件格式</w:t>
      </w:r>
      <w:r>
        <w:rPr>
          <w:b w:val="0"/>
          <w:sz w:val="28"/>
          <w:szCs w:val="28"/>
        </w:rPr>
        <w:tab/>
      </w:r>
      <w:r>
        <w:rPr>
          <w:b w:val="0"/>
          <w:sz w:val="28"/>
          <w:szCs w:val="28"/>
        </w:rPr>
        <w:fldChar w:fldCharType="begin"/>
      </w:r>
      <w:r>
        <w:rPr>
          <w:b w:val="0"/>
          <w:sz w:val="28"/>
          <w:szCs w:val="28"/>
        </w:rPr>
        <w:instrText xml:space="preserve"> PAGEREF _Toc466206538 \h </w:instrText>
      </w:r>
      <w:r>
        <w:rPr>
          <w:b w:val="0"/>
          <w:sz w:val="28"/>
          <w:szCs w:val="28"/>
        </w:rPr>
        <w:fldChar w:fldCharType="separate"/>
      </w:r>
      <w:r>
        <w:rPr>
          <w:b w:val="0"/>
          <w:sz w:val="28"/>
          <w:szCs w:val="28"/>
        </w:rPr>
        <w:t>36</w:t>
      </w:r>
      <w:r>
        <w:rPr>
          <w:b w:val="0"/>
          <w:sz w:val="28"/>
          <w:szCs w:val="28"/>
        </w:rPr>
        <w:fldChar w:fldCharType="end"/>
      </w:r>
      <w:r>
        <w:rPr>
          <w:b w:val="0"/>
          <w:sz w:val="28"/>
          <w:szCs w:val="28"/>
        </w:rPr>
        <w:fldChar w:fldCharType="end"/>
      </w:r>
    </w:p>
    <w:p>
      <w:pPr>
        <w:pStyle w:val="7"/>
        <w:kinsoku/>
        <w:overflowPunct/>
        <w:topLinePunct w:val="0"/>
        <w:bidi w:val="0"/>
        <w:spacing w:line="560" w:lineRule="exact"/>
        <w:ind w:firstLine="0"/>
        <w:rPr>
          <w:rFonts w:ascii="宋体" w:hAnsi="宋体" w:cs="宋体"/>
        </w:rPr>
      </w:pPr>
      <w:r>
        <w:rPr>
          <w:rFonts w:ascii="宋体" w:hAnsi="宋体" w:cs="宋体"/>
          <w:caps/>
          <w:kern w:val="44"/>
          <w:sz w:val="24"/>
          <w:szCs w:val="24"/>
        </w:rPr>
        <w:fldChar w:fldCharType="end"/>
      </w:r>
    </w:p>
    <w:p>
      <w:pPr>
        <w:kinsoku/>
        <w:overflowPunct/>
        <w:topLinePunct w:val="0"/>
        <w:bidi w:val="0"/>
        <w:spacing w:line="560" w:lineRule="exact"/>
      </w:pPr>
    </w:p>
    <w:p>
      <w:pPr>
        <w:kinsoku/>
        <w:overflowPunct/>
        <w:topLinePunct w:val="0"/>
        <w:bidi w:val="0"/>
        <w:spacing w:line="560" w:lineRule="exact"/>
      </w:pPr>
    </w:p>
    <w:p>
      <w:pPr>
        <w:kinsoku/>
        <w:overflowPunct/>
        <w:topLinePunct w:val="0"/>
        <w:bidi w:val="0"/>
        <w:spacing w:line="560" w:lineRule="exact"/>
      </w:pPr>
    </w:p>
    <w:p>
      <w:pPr>
        <w:kinsoku/>
        <w:overflowPunct/>
        <w:topLinePunct w:val="0"/>
        <w:bidi w:val="0"/>
        <w:spacing w:line="560" w:lineRule="exact"/>
      </w:pPr>
    </w:p>
    <w:p>
      <w:pPr>
        <w:kinsoku/>
        <w:overflowPunct/>
        <w:topLinePunct w:val="0"/>
        <w:bidi w:val="0"/>
        <w:spacing w:line="560" w:lineRule="exact"/>
      </w:pPr>
    </w:p>
    <w:p>
      <w:pPr>
        <w:kinsoku/>
        <w:overflowPunct/>
        <w:topLinePunct w:val="0"/>
        <w:bidi w:val="0"/>
        <w:spacing w:line="560" w:lineRule="exact"/>
      </w:pPr>
    </w:p>
    <w:p>
      <w:pPr>
        <w:kinsoku/>
        <w:overflowPunct/>
        <w:topLinePunct w:val="0"/>
        <w:bidi w:val="0"/>
        <w:spacing w:line="560" w:lineRule="exact"/>
      </w:pPr>
    </w:p>
    <w:p>
      <w:pPr>
        <w:kinsoku/>
        <w:overflowPunct/>
        <w:topLinePunct w:val="0"/>
        <w:bidi w:val="0"/>
        <w:spacing w:line="560" w:lineRule="exact"/>
      </w:pPr>
    </w:p>
    <w:p>
      <w:pPr>
        <w:kinsoku/>
        <w:overflowPunct/>
        <w:topLinePunct w:val="0"/>
        <w:bidi w:val="0"/>
        <w:spacing w:line="560" w:lineRule="exact"/>
      </w:pPr>
    </w:p>
    <w:p>
      <w:pPr>
        <w:kinsoku/>
        <w:overflowPunct/>
        <w:topLinePunct w:val="0"/>
        <w:bidi w:val="0"/>
        <w:spacing w:line="560" w:lineRule="exact"/>
      </w:pPr>
    </w:p>
    <w:p>
      <w:pPr>
        <w:kinsoku/>
        <w:overflowPunct/>
        <w:topLinePunct w:val="0"/>
        <w:bidi w:val="0"/>
        <w:spacing w:line="560" w:lineRule="exact"/>
      </w:pPr>
    </w:p>
    <w:p>
      <w:pPr>
        <w:kinsoku/>
        <w:overflowPunct/>
        <w:topLinePunct w:val="0"/>
        <w:bidi w:val="0"/>
        <w:spacing w:line="560" w:lineRule="exact"/>
      </w:pPr>
    </w:p>
    <w:p>
      <w:pPr>
        <w:kinsoku/>
        <w:overflowPunct/>
        <w:topLinePunct w:val="0"/>
        <w:bidi w:val="0"/>
        <w:spacing w:line="560" w:lineRule="exact"/>
      </w:pPr>
    </w:p>
    <w:p>
      <w:pPr>
        <w:pStyle w:val="4"/>
        <w:kinsoku/>
        <w:overflowPunct/>
        <w:topLinePunct w:val="0"/>
        <w:bidi w:val="0"/>
        <w:spacing w:before="260" w:after="260" w:line="560" w:lineRule="exact"/>
        <w:jc w:val="center"/>
        <w:rPr>
          <w:rFonts w:ascii="宋体" w:hAnsi="宋体" w:cs="宋体"/>
          <w:szCs w:val="32"/>
        </w:rPr>
      </w:pPr>
      <w:bookmarkStart w:id="5" w:name="_Toc466206532"/>
      <w:r>
        <w:rPr>
          <w:rFonts w:hint="eastAsia" w:ascii="宋体" w:hAnsi="宋体" w:cs="宋体"/>
          <w:szCs w:val="32"/>
        </w:rPr>
        <w:t>第一章  竞争性谈判</w:t>
      </w:r>
      <w:bookmarkEnd w:id="0"/>
      <w:bookmarkEnd w:id="1"/>
      <w:r>
        <w:rPr>
          <w:rFonts w:hint="eastAsia" w:ascii="宋体" w:hAnsi="宋体" w:cs="宋体"/>
          <w:szCs w:val="32"/>
        </w:rPr>
        <w:t>公告</w:t>
      </w:r>
      <w:bookmarkEnd w:id="5"/>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u w:val="single"/>
          <w:lang w:eastAsia="zh-CN"/>
        </w:rPr>
        <w:t>四川能投</w:t>
      </w:r>
      <w:r>
        <w:rPr>
          <w:rFonts w:hint="eastAsia" w:ascii="仿宋_GB2312" w:hAnsi="仿宋_GB2312" w:eastAsia="仿宋_GB2312" w:cs="仿宋_GB2312"/>
          <w:bCs/>
          <w:sz w:val="24"/>
          <w:szCs w:val="24"/>
          <w:u w:val="single"/>
          <w:lang w:val="en-US" w:eastAsia="zh-CN"/>
        </w:rPr>
        <w:t>广元燃气发电</w:t>
      </w:r>
      <w:r>
        <w:rPr>
          <w:rFonts w:hint="eastAsia" w:ascii="仿宋_GB2312" w:hAnsi="仿宋_GB2312" w:eastAsia="仿宋_GB2312" w:cs="仿宋_GB2312"/>
          <w:bCs/>
          <w:sz w:val="24"/>
          <w:szCs w:val="24"/>
          <w:u w:val="single"/>
          <w:lang w:eastAsia="zh-CN"/>
        </w:rPr>
        <w:t>有限公司</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sz w:val="24"/>
          <w:szCs w:val="24"/>
        </w:rPr>
        <w:t>（采购人名称）就</w:t>
      </w:r>
      <w:r>
        <w:rPr>
          <w:rFonts w:hint="eastAsia" w:ascii="仿宋_GB2312" w:hAnsi="仿宋_GB2312" w:eastAsia="仿宋_GB2312" w:cs="仿宋_GB2312"/>
          <w:sz w:val="24"/>
          <w:szCs w:val="24"/>
          <w:u w:val="single"/>
          <w:lang w:val="en-US" w:eastAsia="zh-CN"/>
        </w:rPr>
        <w:t>广元燃机工程建设期生活用房</w:t>
      </w:r>
      <w:r>
        <w:rPr>
          <w:rFonts w:hint="eastAsia" w:ascii="仿宋_GB2312" w:hAnsi="仿宋_GB2312" w:eastAsia="仿宋_GB2312" w:cs="仿宋_GB2312"/>
          <w:bCs/>
          <w:sz w:val="24"/>
          <w:szCs w:val="24"/>
          <w:u w:val="single"/>
          <w:lang w:eastAsia="zh-CN"/>
        </w:rPr>
        <w:t>家具采购</w:t>
      </w:r>
      <w:r>
        <w:rPr>
          <w:rFonts w:hint="eastAsia" w:ascii="仿宋_GB2312" w:hAnsi="仿宋_GB2312" w:eastAsia="仿宋_GB2312" w:cs="仿宋_GB2312"/>
          <w:sz w:val="24"/>
          <w:szCs w:val="24"/>
        </w:rPr>
        <w:t>项目组织竞争性谈判，欢迎符合本项目资格条件的潜在响应人参与谈判。</w:t>
      </w:r>
      <w:bookmarkStart w:id="6" w:name="_Toc217446031"/>
      <w:bookmarkStart w:id="7" w:name="_Toc213397009"/>
      <w:bookmarkStart w:id="8" w:name="_Toc213396759"/>
      <w:bookmarkStart w:id="9" w:name="_Toc213396945"/>
      <w:bookmarkStart w:id="10" w:name="_Toc213496267"/>
      <w:bookmarkStart w:id="11" w:name="_Toc183682339"/>
      <w:bookmarkStart w:id="12" w:name="_Toc77400776"/>
      <w:bookmarkStart w:id="13" w:name="_Toc183582202"/>
      <w:bookmarkStart w:id="14" w:name="_Toc89075871"/>
    </w:p>
    <w:p>
      <w:pPr>
        <w:pageBreakBefore w:val="0"/>
        <w:widowControl w:val="0"/>
        <w:kinsoku/>
        <w:wordWrap/>
        <w:overflowPunct/>
        <w:topLinePunct w:val="0"/>
        <w:autoSpaceDE/>
        <w:autoSpaceDN/>
        <w:bidi w:val="0"/>
        <w:adjustRightInd/>
        <w:spacing w:line="560" w:lineRule="exact"/>
        <w:ind w:right="0" w:firstLine="520" w:firstLineChars="200"/>
        <w:textAlignment w:val="auto"/>
        <w:rPr>
          <w:rFonts w:hint="eastAsia" w:ascii="黑体" w:hAnsi="黑体" w:eastAsia="黑体" w:cs="黑体"/>
          <w:b w:val="0"/>
          <w:bCs/>
          <w:spacing w:val="10"/>
          <w:sz w:val="24"/>
          <w:szCs w:val="24"/>
        </w:rPr>
      </w:pPr>
      <w:r>
        <w:rPr>
          <w:rFonts w:hint="eastAsia" w:ascii="黑体" w:hAnsi="黑体" w:eastAsia="黑体" w:cs="黑体"/>
          <w:b w:val="0"/>
          <w:bCs/>
          <w:spacing w:val="10"/>
          <w:sz w:val="24"/>
          <w:szCs w:val="24"/>
        </w:rPr>
        <w:t>一、采购项目概况</w:t>
      </w:r>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val="en-US" w:eastAsia="zh-CN"/>
        </w:rPr>
        <w:t>广元燃机工程建设期生活用房</w:t>
      </w:r>
      <w:r>
        <w:rPr>
          <w:rFonts w:hint="eastAsia" w:ascii="仿宋_GB2312" w:hAnsi="仿宋_GB2312" w:eastAsia="仿宋_GB2312" w:cs="仿宋_GB2312"/>
          <w:sz w:val="24"/>
          <w:szCs w:val="24"/>
          <w:lang w:eastAsia="zh-CN"/>
        </w:rPr>
        <w:t>家具采购</w:t>
      </w:r>
      <w:r>
        <w:rPr>
          <w:rFonts w:hint="eastAsia" w:ascii="仿宋_GB2312" w:hAnsi="仿宋_GB2312" w:eastAsia="仿宋_GB2312" w:cs="仿宋_GB2312"/>
          <w:sz w:val="24"/>
          <w:szCs w:val="24"/>
        </w:rPr>
        <w:t xml:space="preserve"> </w:t>
      </w:r>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资金来源：</w:t>
      </w:r>
      <w:r>
        <w:rPr>
          <w:rFonts w:hint="eastAsia" w:ascii="仿宋_GB2312" w:hAnsi="仿宋_GB2312" w:eastAsia="仿宋_GB2312" w:cs="仿宋_GB2312"/>
          <w:sz w:val="24"/>
          <w:szCs w:val="24"/>
          <w:lang w:eastAsia="zh-CN"/>
        </w:rPr>
        <w:t>自筹</w:t>
      </w:r>
      <w:r>
        <w:rPr>
          <w:rFonts w:hint="eastAsia" w:ascii="仿宋_GB2312" w:hAnsi="仿宋_GB2312" w:eastAsia="仿宋_GB2312" w:cs="仿宋_GB2312"/>
          <w:sz w:val="24"/>
          <w:szCs w:val="24"/>
        </w:rPr>
        <w:t xml:space="preserve"> </w:t>
      </w:r>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工作内容：</w:t>
      </w:r>
      <w:r>
        <w:rPr>
          <w:rFonts w:hint="eastAsia" w:ascii="仿宋_GB2312" w:hAnsi="仿宋_GB2312" w:eastAsia="仿宋_GB2312" w:cs="仿宋_GB2312"/>
          <w:sz w:val="24"/>
          <w:szCs w:val="24"/>
          <w:lang w:eastAsia="zh-CN"/>
        </w:rPr>
        <w:t>完成所需家具的供应</w:t>
      </w:r>
      <w:r>
        <w:rPr>
          <w:rFonts w:hint="eastAsia" w:ascii="仿宋_GB2312" w:hAnsi="仿宋_GB2312" w:eastAsia="仿宋_GB2312" w:cs="仿宋_GB2312"/>
          <w:sz w:val="24"/>
          <w:szCs w:val="24"/>
        </w:rPr>
        <w:t>。</w:t>
      </w:r>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供货周期：</w:t>
      </w:r>
      <w:r>
        <w:rPr>
          <w:rFonts w:hint="eastAsia" w:ascii="仿宋_GB2312" w:hAnsi="仿宋_GB2312" w:eastAsia="仿宋_GB2312" w:cs="仿宋_GB2312"/>
          <w:sz w:val="24"/>
          <w:szCs w:val="24"/>
          <w:lang w:val="en-US" w:eastAsia="zh-CN"/>
        </w:rPr>
        <w:t>15日历天</w:t>
      </w:r>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质量要求：货物质量必须符合或优于国家（行业）标准，根据采购清单及技术要求，按时完成合格产品的供货和安装。</w:t>
      </w:r>
    </w:p>
    <w:p>
      <w:pPr>
        <w:pageBreakBefore w:val="0"/>
        <w:widowControl w:val="0"/>
        <w:kinsoku/>
        <w:wordWrap/>
        <w:overflowPunct/>
        <w:topLinePunct w:val="0"/>
        <w:autoSpaceDE/>
        <w:autoSpaceDN/>
        <w:bidi w:val="0"/>
        <w:adjustRightInd/>
        <w:spacing w:line="560" w:lineRule="exact"/>
        <w:ind w:right="0" w:firstLine="520" w:firstLineChars="200"/>
        <w:textAlignment w:val="auto"/>
        <w:rPr>
          <w:rFonts w:hint="eastAsia" w:ascii="黑体" w:hAnsi="黑体" w:eastAsia="黑体" w:cs="黑体"/>
          <w:b w:val="0"/>
          <w:bCs/>
          <w:spacing w:val="10"/>
          <w:sz w:val="24"/>
          <w:szCs w:val="24"/>
        </w:rPr>
      </w:pPr>
      <w:r>
        <w:rPr>
          <w:rFonts w:hint="eastAsia" w:ascii="黑体" w:hAnsi="黑体" w:eastAsia="黑体" w:cs="黑体"/>
          <w:b w:val="0"/>
          <w:bCs/>
          <w:spacing w:val="10"/>
          <w:sz w:val="24"/>
          <w:szCs w:val="24"/>
        </w:rPr>
        <w:t>二、响应人参加本次竞争性谈判应具备下列条件</w:t>
      </w:r>
    </w:p>
    <w:p>
      <w:pPr>
        <w:pageBreakBefore w:val="0"/>
        <w:widowControl w:val="0"/>
        <w:kinsoku/>
        <w:wordWrap/>
        <w:overflowPunct/>
        <w:topLinePunct w:val="0"/>
        <w:autoSpaceDE/>
        <w:autoSpaceDN/>
        <w:bidi w:val="0"/>
        <w:adjustRightInd/>
        <w:spacing w:line="560" w:lineRule="exact"/>
        <w:ind w:right="0" w:firstLine="520" w:firstLineChars="200"/>
        <w:textAlignment w:val="auto"/>
        <w:rPr>
          <w:rFonts w:hint="eastAsia" w:ascii="仿宋_GB2312" w:hAnsi="仿宋_GB2312" w:eastAsia="仿宋_GB2312" w:cs="仿宋_GB2312"/>
          <w:spacing w:val="10"/>
          <w:sz w:val="24"/>
          <w:szCs w:val="24"/>
          <w:lang w:eastAsia="zh-CN"/>
        </w:rPr>
      </w:pPr>
      <w:r>
        <w:rPr>
          <w:rFonts w:hint="eastAsia" w:ascii="仿宋_GB2312" w:hAnsi="仿宋_GB2312" w:eastAsia="仿宋_GB2312" w:cs="仿宋_GB2312"/>
          <w:spacing w:val="10"/>
          <w:sz w:val="24"/>
          <w:szCs w:val="24"/>
        </w:rPr>
        <w:t>1</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一般要求：</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1</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具有独立承担民事责任的能力，具有有效的营业执照；</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2</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具有良好的商业信誉和健全的财务会计制度；</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3</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具有依法缴纳税收和社会保障资金的良好记录；</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lang w:val="en-US" w:eastAsia="zh-CN"/>
        </w:rPr>
        <w:t>4</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参加本次采购活动前三年内，在经营活动中没有重大违法违规记录；</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pacing w:val="10"/>
          <w:sz w:val="24"/>
          <w:szCs w:val="24"/>
        </w:rPr>
        <w:t>财务要求：</w:t>
      </w:r>
      <w:r>
        <w:rPr>
          <w:rFonts w:hint="eastAsia" w:ascii="仿宋_GB2312" w:hAnsi="仿宋_GB2312" w:eastAsia="仿宋_GB2312" w:cs="仿宋_GB2312"/>
          <w:kern w:val="0"/>
          <w:sz w:val="24"/>
          <w:szCs w:val="24"/>
        </w:rPr>
        <w:t>企业</w:t>
      </w:r>
      <w:r>
        <w:rPr>
          <w:rFonts w:hint="eastAsia" w:ascii="仿宋_GB2312" w:hAnsi="仿宋_GB2312" w:eastAsia="仿宋_GB2312" w:cs="仿宋_GB2312"/>
          <w:sz w:val="24"/>
          <w:szCs w:val="24"/>
        </w:rPr>
        <w:t>近3年（</w:t>
      </w:r>
      <w:r>
        <w:rPr>
          <w:rFonts w:hint="eastAsia" w:ascii="仿宋_GB2312" w:hAnsi="仿宋_GB2312" w:eastAsia="仿宋_GB2312" w:cs="仿宋_GB2312"/>
          <w:sz w:val="24"/>
          <w:szCs w:val="24"/>
          <w:u w:val="single"/>
        </w:rPr>
        <w:t>201</w:t>
      </w:r>
      <w:r>
        <w:rPr>
          <w:rFonts w:hint="eastAsia" w:ascii="仿宋_GB2312" w:hAnsi="仿宋_GB2312" w:eastAsia="仿宋_GB2312" w:cs="仿宋_GB2312"/>
          <w:sz w:val="24"/>
          <w:szCs w:val="24"/>
          <w:u w:val="single"/>
          <w:lang w:val="en-US" w:eastAsia="zh-CN"/>
        </w:rPr>
        <w:t>9年1月1日</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年至</w:t>
      </w:r>
      <w:r>
        <w:rPr>
          <w:rFonts w:hint="eastAsia" w:ascii="仿宋_GB2312" w:hAnsi="仿宋_GB2312" w:eastAsia="仿宋_GB2312" w:cs="仿宋_GB2312"/>
          <w:sz w:val="24"/>
          <w:szCs w:val="24"/>
          <w:u w:val="single"/>
        </w:rPr>
        <w:t>20</w:t>
      </w:r>
      <w:r>
        <w:rPr>
          <w:rFonts w:hint="eastAsia" w:ascii="仿宋_GB2312" w:hAnsi="仿宋_GB2312" w:eastAsia="仿宋_GB2312" w:cs="仿宋_GB2312"/>
          <w:sz w:val="24"/>
          <w:szCs w:val="24"/>
          <w:u w:val="single"/>
          <w:lang w:val="en-US" w:eastAsia="zh-CN"/>
        </w:rPr>
        <w:t>21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12月31日</w:t>
      </w:r>
      <w:r>
        <w:rPr>
          <w:rFonts w:hint="eastAsia" w:ascii="仿宋_GB2312" w:hAnsi="仿宋_GB2312" w:eastAsia="仿宋_GB2312" w:cs="仿宋_GB2312"/>
          <w:sz w:val="24"/>
          <w:szCs w:val="24"/>
        </w:rPr>
        <w:t>）财务状况均无亏损（新成立企业不满足比选人年度要求的，投标文件只提供成立后的资料）</w:t>
      </w:r>
      <w:r>
        <w:rPr>
          <w:rFonts w:hint="eastAsia" w:ascii="仿宋_GB2312" w:hAnsi="仿宋_GB2312" w:eastAsia="仿宋_GB2312" w:cs="仿宋_GB2312"/>
          <w:sz w:val="24"/>
          <w:szCs w:val="24"/>
          <w:lang w:eastAsia="zh-CN"/>
        </w:rPr>
        <w:t>。</w:t>
      </w:r>
    </w:p>
    <w:p>
      <w:pPr>
        <w:pageBreakBefore w:val="0"/>
        <w:widowControl w:val="0"/>
        <w:kinsoku/>
        <w:wordWrap/>
        <w:overflowPunct/>
        <w:topLinePunct w:val="0"/>
        <w:autoSpaceDE/>
        <w:autoSpaceDN/>
        <w:bidi w:val="0"/>
        <w:adjustRightInd/>
        <w:spacing w:line="560" w:lineRule="exact"/>
        <w:ind w:right="0" w:firstLine="520" w:firstLineChars="200"/>
        <w:jc w:val="left"/>
        <w:textAlignment w:val="auto"/>
        <w:rPr>
          <w:rFonts w:hint="eastAsia" w:ascii="仿宋_GB2312" w:hAnsi="仿宋_GB2312" w:eastAsia="仿宋_GB2312" w:cs="仿宋_GB2312"/>
          <w:spacing w:val="10"/>
          <w:sz w:val="24"/>
          <w:szCs w:val="24"/>
          <w:lang w:eastAsia="zh-CN"/>
        </w:rPr>
      </w:pPr>
      <w:r>
        <w:rPr>
          <w:rFonts w:hint="eastAsia" w:ascii="仿宋_GB2312" w:hAnsi="仿宋_GB2312" w:eastAsia="仿宋_GB2312" w:cs="仿宋_GB2312"/>
          <w:spacing w:val="10"/>
          <w:sz w:val="24"/>
          <w:szCs w:val="24"/>
        </w:rPr>
        <w:t>2</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资</w:t>
      </w:r>
      <w:r>
        <w:rPr>
          <w:rFonts w:hint="eastAsia" w:ascii="仿宋_GB2312" w:hAnsi="仿宋_GB2312" w:eastAsia="仿宋_GB2312" w:cs="仿宋_GB2312"/>
          <w:spacing w:val="10"/>
          <w:sz w:val="24"/>
          <w:szCs w:val="24"/>
          <w:lang w:eastAsia="zh-CN"/>
        </w:rPr>
        <w:t>格</w:t>
      </w:r>
      <w:r>
        <w:rPr>
          <w:rFonts w:hint="eastAsia" w:ascii="仿宋_GB2312" w:hAnsi="仿宋_GB2312" w:eastAsia="仿宋_GB2312" w:cs="仿宋_GB2312"/>
          <w:spacing w:val="10"/>
          <w:sz w:val="24"/>
          <w:szCs w:val="24"/>
        </w:rPr>
        <w:t>要求：须为产品制造商或有产品制造商授权的经销商（本项目产品制造商只能授权一个经销商），营业执照范围内包含销售或生产家具</w:t>
      </w:r>
      <w:r>
        <w:rPr>
          <w:rFonts w:hint="eastAsia" w:ascii="仿宋_GB2312" w:hAnsi="仿宋_GB2312" w:eastAsia="仿宋_GB2312" w:cs="仿宋_GB2312"/>
          <w:spacing w:val="10"/>
          <w:sz w:val="24"/>
          <w:szCs w:val="24"/>
          <w:lang w:eastAsia="zh-CN"/>
        </w:rPr>
        <w:t>。</w:t>
      </w:r>
    </w:p>
    <w:p>
      <w:pPr>
        <w:pageBreakBefore w:val="0"/>
        <w:widowControl w:val="0"/>
        <w:kinsoku/>
        <w:wordWrap/>
        <w:overflowPunct/>
        <w:topLinePunct w:val="0"/>
        <w:autoSpaceDE/>
        <w:autoSpaceDN/>
        <w:bidi w:val="0"/>
        <w:adjustRightInd/>
        <w:spacing w:line="560" w:lineRule="exact"/>
        <w:ind w:right="0" w:firstLine="52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3</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其他要求：</w:t>
      </w:r>
      <w:r>
        <w:rPr>
          <w:rFonts w:hint="eastAsia" w:ascii="仿宋_GB2312" w:hAnsi="仿宋_GB2312" w:eastAsia="仿宋_GB2312" w:cs="仿宋_GB2312"/>
          <w:spacing w:val="10"/>
          <w:sz w:val="24"/>
          <w:szCs w:val="24"/>
          <w:lang w:val="zh-CN"/>
        </w:rPr>
        <w:t>（1）所提供家具制造商具有ISO9001，ISO14001，十环认证，greenguard绿色卫士认证，BIFMA检测报告；（2）有完善的售后服务体系，达到五星售后认证。</w:t>
      </w:r>
    </w:p>
    <w:p>
      <w:pPr>
        <w:pageBreakBefore w:val="0"/>
        <w:widowControl w:val="0"/>
        <w:kinsoku/>
        <w:wordWrap/>
        <w:overflowPunct/>
        <w:topLinePunct w:val="0"/>
        <w:autoSpaceDE/>
        <w:autoSpaceDN/>
        <w:bidi w:val="0"/>
        <w:adjustRightInd/>
        <w:spacing w:line="560" w:lineRule="exact"/>
        <w:ind w:right="0" w:firstLine="520" w:firstLineChars="200"/>
        <w:jc w:val="left"/>
        <w:textAlignment w:val="auto"/>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4</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本项目不接受联合体参加谈判。</w:t>
      </w:r>
    </w:p>
    <w:p>
      <w:pPr>
        <w:pageBreakBefore w:val="0"/>
        <w:widowControl w:val="0"/>
        <w:kinsoku/>
        <w:wordWrap/>
        <w:overflowPunct/>
        <w:topLinePunct w:val="0"/>
        <w:autoSpaceDE/>
        <w:autoSpaceDN/>
        <w:bidi w:val="0"/>
        <w:adjustRightInd/>
        <w:spacing w:line="560" w:lineRule="exact"/>
        <w:ind w:right="0" w:firstLine="520" w:firstLineChars="200"/>
        <w:textAlignment w:val="auto"/>
        <w:rPr>
          <w:rFonts w:hint="eastAsia" w:ascii="仿宋_GB2312" w:hAnsi="仿宋_GB2312" w:eastAsia="仿宋_GB2312" w:cs="仿宋_GB2312"/>
          <w:b/>
          <w:spacing w:val="10"/>
          <w:sz w:val="24"/>
          <w:szCs w:val="24"/>
        </w:rPr>
      </w:pPr>
      <w:r>
        <w:rPr>
          <w:rFonts w:hint="eastAsia" w:ascii="黑体" w:hAnsi="黑体" w:eastAsia="黑体" w:cs="黑体"/>
          <w:b w:val="0"/>
          <w:bCs/>
          <w:spacing w:val="10"/>
          <w:sz w:val="24"/>
          <w:szCs w:val="24"/>
        </w:rPr>
        <w:t>三、谈判文件发售时间</w:t>
      </w:r>
    </w:p>
    <w:p>
      <w:pPr>
        <w:pageBreakBefore w:val="0"/>
        <w:widowControl w:val="0"/>
        <w:kinsoku/>
        <w:wordWrap/>
        <w:overflowPunct/>
        <w:topLinePunct w:val="0"/>
        <w:autoSpaceDE/>
        <w:autoSpaceDN/>
        <w:bidi w:val="0"/>
        <w:adjustRightInd/>
        <w:spacing w:line="560" w:lineRule="exact"/>
        <w:ind w:right="0" w:firstLine="520" w:firstLineChars="200"/>
        <w:textAlignment w:val="auto"/>
        <w:rPr>
          <w:rFonts w:hint="eastAsia" w:ascii="仿宋_GB2312" w:hAnsi="仿宋_GB2312" w:eastAsia="仿宋_GB2312" w:cs="仿宋_GB2312"/>
          <w:spacing w:val="10"/>
          <w:sz w:val="24"/>
          <w:szCs w:val="24"/>
          <w:lang w:eastAsia="zh-CN"/>
        </w:rPr>
      </w:pPr>
      <w:r>
        <w:rPr>
          <w:rFonts w:hint="eastAsia" w:ascii="仿宋_GB2312" w:hAnsi="仿宋_GB2312" w:eastAsia="仿宋_GB2312" w:cs="仿宋_GB2312"/>
          <w:spacing w:val="10"/>
          <w:sz w:val="24"/>
          <w:szCs w:val="24"/>
        </w:rPr>
        <w:t>请有意参加本项目竞谈响应人，请于</w:t>
      </w:r>
      <w:r>
        <w:rPr>
          <w:rFonts w:hint="eastAsia" w:ascii="仿宋_GB2312" w:hAnsi="仿宋_GB2312" w:eastAsia="仿宋_GB2312" w:cs="仿宋_GB2312"/>
          <w:spacing w:val="10"/>
          <w:sz w:val="24"/>
          <w:szCs w:val="24"/>
          <w:u w:val="single"/>
        </w:rPr>
        <w:t xml:space="preserve"> </w:t>
      </w:r>
      <w:r>
        <w:rPr>
          <w:rFonts w:hint="eastAsia" w:ascii="仿宋_GB2312" w:hAnsi="仿宋_GB2312" w:eastAsia="仿宋_GB2312" w:cs="仿宋_GB2312"/>
          <w:spacing w:val="10"/>
          <w:sz w:val="24"/>
          <w:szCs w:val="24"/>
          <w:u w:val="single"/>
          <w:lang w:val="en-US" w:eastAsia="zh-CN"/>
        </w:rPr>
        <w:t>2022</w:t>
      </w:r>
      <w:r>
        <w:rPr>
          <w:rFonts w:hint="eastAsia" w:ascii="仿宋_GB2312" w:hAnsi="仿宋_GB2312" w:eastAsia="仿宋_GB2312" w:cs="仿宋_GB2312"/>
          <w:spacing w:val="10"/>
          <w:sz w:val="24"/>
          <w:szCs w:val="24"/>
        </w:rPr>
        <w:t>年</w:t>
      </w:r>
      <w:r>
        <w:rPr>
          <w:rFonts w:hint="eastAsia" w:ascii="仿宋_GB2312" w:hAnsi="仿宋_GB2312" w:eastAsia="仿宋_GB2312" w:cs="仿宋_GB2312"/>
          <w:spacing w:val="10"/>
          <w:sz w:val="24"/>
          <w:szCs w:val="24"/>
          <w:u w:val="single"/>
          <w:lang w:val="en-US" w:eastAsia="zh-CN"/>
        </w:rPr>
        <w:t xml:space="preserve"> 5 </w:t>
      </w:r>
      <w:r>
        <w:rPr>
          <w:rFonts w:hint="eastAsia" w:ascii="仿宋_GB2312" w:hAnsi="仿宋_GB2312" w:eastAsia="仿宋_GB2312" w:cs="仿宋_GB2312"/>
          <w:spacing w:val="10"/>
          <w:sz w:val="24"/>
          <w:szCs w:val="24"/>
        </w:rPr>
        <w:t>月</w:t>
      </w:r>
      <w:r>
        <w:rPr>
          <w:rFonts w:hint="eastAsia" w:ascii="仿宋_GB2312" w:hAnsi="仿宋_GB2312" w:eastAsia="仿宋_GB2312" w:cs="仿宋_GB2312"/>
          <w:spacing w:val="10"/>
          <w:sz w:val="24"/>
          <w:szCs w:val="24"/>
          <w:u w:val="single"/>
        </w:rPr>
        <w:t xml:space="preserve"> </w:t>
      </w:r>
      <w:r>
        <w:rPr>
          <w:rFonts w:hint="eastAsia" w:ascii="仿宋_GB2312" w:hAnsi="仿宋_GB2312" w:eastAsia="仿宋_GB2312" w:cs="仿宋_GB2312"/>
          <w:spacing w:val="10"/>
          <w:sz w:val="24"/>
          <w:szCs w:val="24"/>
          <w:u w:val="single"/>
          <w:lang w:val="en-US" w:eastAsia="zh-CN"/>
        </w:rPr>
        <w:t>11</w:t>
      </w:r>
      <w:r>
        <w:rPr>
          <w:rFonts w:hint="eastAsia" w:ascii="仿宋_GB2312" w:hAnsi="仿宋_GB2312" w:eastAsia="仿宋_GB2312" w:cs="仿宋_GB2312"/>
          <w:spacing w:val="10"/>
          <w:sz w:val="24"/>
          <w:szCs w:val="24"/>
          <w:u w:val="single"/>
        </w:rPr>
        <w:t xml:space="preserve"> </w:t>
      </w:r>
      <w:r>
        <w:rPr>
          <w:rFonts w:hint="eastAsia" w:ascii="仿宋_GB2312" w:hAnsi="仿宋_GB2312" w:eastAsia="仿宋_GB2312" w:cs="仿宋_GB2312"/>
          <w:spacing w:val="10"/>
          <w:sz w:val="24"/>
          <w:szCs w:val="24"/>
        </w:rPr>
        <w:t>日至</w:t>
      </w:r>
      <w:r>
        <w:rPr>
          <w:rFonts w:hint="eastAsia" w:ascii="仿宋_GB2312" w:hAnsi="仿宋_GB2312" w:eastAsia="仿宋_GB2312" w:cs="仿宋_GB2312"/>
          <w:spacing w:val="10"/>
          <w:sz w:val="24"/>
          <w:szCs w:val="24"/>
          <w:u w:val="single"/>
          <w:lang w:val="en-US" w:eastAsia="zh-CN"/>
        </w:rPr>
        <w:t>2022</w:t>
      </w:r>
      <w:r>
        <w:rPr>
          <w:rFonts w:hint="eastAsia" w:ascii="仿宋_GB2312" w:hAnsi="仿宋_GB2312" w:eastAsia="仿宋_GB2312" w:cs="仿宋_GB2312"/>
          <w:spacing w:val="10"/>
          <w:sz w:val="24"/>
          <w:szCs w:val="24"/>
        </w:rPr>
        <w:t>年</w:t>
      </w:r>
      <w:r>
        <w:rPr>
          <w:rFonts w:hint="eastAsia" w:ascii="仿宋_GB2312" w:hAnsi="仿宋_GB2312" w:eastAsia="仿宋_GB2312" w:cs="仿宋_GB2312"/>
          <w:spacing w:val="10"/>
          <w:sz w:val="24"/>
          <w:szCs w:val="24"/>
          <w:u w:val="single"/>
          <w:lang w:val="en-US" w:eastAsia="zh-CN"/>
        </w:rPr>
        <w:t xml:space="preserve"> 5</w:t>
      </w:r>
      <w:r>
        <w:rPr>
          <w:rFonts w:hint="eastAsia" w:ascii="仿宋_GB2312" w:hAnsi="仿宋_GB2312" w:eastAsia="仿宋_GB2312" w:cs="仿宋_GB2312"/>
          <w:spacing w:val="10"/>
          <w:sz w:val="24"/>
          <w:szCs w:val="24"/>
        </w:rPr>
        <w:t>月</w:t>
      </w:r>
      <w:r>
        <w:rPr>
          <w:rFonts w:hint="eastAsia" w:ascii="仿宋_GB2312" w:hAnsi="仿宋_GB2312" w:eastAsia="仿宋_GB2312" w:cs="仿宋_GB2312"/>
          <w:spacing w:val="10"/>
          <w:sz w:val="24"/>
          <w:szCs w:val="24"/>
          <w:u w:val="single"/>
        </w:rPr>
        <w:t xml:space="preserve"> </w:t>
      </w:r>
      <w:r>
        <w:rPr>
          <w:rFonts w:hint="eastAsia" w:ascii="仿宋_GB2312" w:hAnsi="仿宋_GB2312" w:eastAsia="仿宋_GB2312" w:cs="仿宋_GB2312"/>
          <w:spacing w:val="10"/>
          <w:sz w:val="24"/>
          <w:szCs w:val="24"/>
          <w:u w:val="single"/>
          <w:lang w:val="en-US" w:eastAsia="zh-CN"/>
        </w:rPr>
        <w:t>16</w:t>
      </w:r>
      <w:r>
        <w:rPr>
          <w:rFonts w:hint="eastAsia" w:ascii="仿宋_GB2312" w:hAnsi="仿宋_GB2312" w:eastAsia="仿宋_GB2312" w:cs="仿宋_GB2312"/>
          <w:spacing w:val="10"/>
          <w:sz w:val="24"/>
          <w:szCs w:val="24"/>
        </w:rPr>
        <w:t>日</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在</w:t>
      </w:r>
      <w:r>
        <w:rPr>
          <w:rFonts w:hint="eastAsia" w:ascii="仿宋_GB2312" w:hAnsi="仿宋_GB2312" w:eastAsia="仿宋_GB2312" w:cs="仿宋_GB2312"/>
          <w:spacing w:val="10"/>
          <w:sz w:val="24"/>
          <w:szCs w:val="24"/>
          <w:u w:val="single"/>
          <w:lang w:eastAsia="zh-CN"/>
        </w:rPr>
        <w:t>四川能投</w:t>
      </w:r>
      <w:r>
        <w:rPr>
          <w:rFonts w:hint="eastAsia" w:ascii="仿宋_GB2312" w:hAnsi="仿宋_GB2312" w:eastAsia="仿宋_GB2312" w:cs="仿宋_GB2312"/>
          <w:spacing w:val="10"/>
          <w:sz w:val="24"/>
          <w:szCs w:val="24"/>
          <w:u w:val="single"/>
          <w:lang w:val="en-US" w:eastAsia="zh-CN"/>
        </w:rPr>
        <w:t>广元燃气发电有限公司网站上</w:t>
      </w:r>
      <w:r>
        <w:rPr>
          <w:rFonts w:hint="eastAsia" w:ascii="仿宋_GB2312" w:hAnsi="仿宋_GB2312" w:eastAsia="仿宋_GB2312" w:cs="仿宋_GB2312"/>
          <w:spacing w:val="10"/>
          <w:sz w:val="24"/>
          <w:szCs w:val="24"/>
          <w:u w:val="single"/>
          <w:lang w:eastAsia="zh-CN"/>
        </w:rPr>
        <w:t>（https://gyrqfd.scnyw.com/）</w:t>
      </w:r>
      <w:r>
        <w:rPr>
          <w:rFonts w:hint="eastAsia" w:ascii="仿宋_GB2312" w:hAnsi="仿宋_GB2312" w:eastAsia="仿宋_GB2312" w:cs="仿宋_GB2312"/>
          <w:spacing w:val="10"/>
          <w:sz w:val="24"/>
          <w:szCs w:val="24"/>
          <w:u w:val="single"/>
          <w:lang w:val="en-US" w:eastAsia="zh-CN"/>
        </w:rPr>
        <w:t>下载竞争性谈判</w:t>
      </w:r>
      <w:r>
        <w:rPr>
          <w:rFonts w:hint="eastAsia" w:ascii="仿宋_GB2312" w:hAnsi="仿宋_GB2312" w:eastAsia="仿宋_GB2312" w:cs="仿宋_GB2312"/>
          <w:spacing w:val="10"/>
          <w:sz w:val="24"/>
          <w:szCs w:val="24"/>
        </w:rPr>
        <w:t>。</w:t>
      </w:r>
    </w:p>
    <w:p>
      <w:pPr>
        <w:pageBreakBefore w:val="0"/>
        <w:widowControl w:val="0"/>
        <w:kinsoku/>
        <w:wordWrap/>
        <w:overflowPunct/>
        <w:topLinePunct w:val="0"/>
        <w:autoSpaceDE/>
        <w:autoSpaceDN/>
        <w:bidi w:val="0"/>
        <w:adjustRightInd/>
        <w:spacing w:line="560" w:lineRule="exact"/>
        <w:ind w:right="0" w:firstLine="520" w:firstLineChars="200"/>
        <w:textAlignment w:val="auto"/>
        <w:rPr>
          <w:rFonts w:hint="eastAsia" w:ascii="黑体" w:hAnsi="黑体" w:eastAsia="黑体" w:cs="黑体"/>
          <w:b w:val="0"/>
          <w:bCs/>
          <w:spacing w:val="10"/>
          <w:sz w:val="24"/>
          <w:szCs w:val="24"/>
        </w:rPr>
      </w:pPr>
      <w:r>
        <w:rPr>
          <w:rFonts w:hint="eastAsia" w:ascii="黑体" w:hAnsi="黑体" w:eastAsia="黑体" w:cs="黑体"/>
          <w:b w:val="0"/>
          <w:bCs/>
          <w:spacing w:val="10"/>
          <w:sz w:val="24"/>
          <w:szCs w:val="24"/>
        </w:rPr>
        <w:t>四、谈判响应文件递交截止时间及递交地点</w:t>
      </w:r>
    </w:p>
    <w:p>
      <w:pPr>
        <w:pageBreakBefore w:val="0"/>
        <w:widowControl w:val="0"/>
        <w:kinsoku/>
        <w:wordWrap/>
        <w:overflowPunct/>
        <w:topLinePunct w:val="0"/>
        <w:autoSpaceDE/>
        <w:autoSpaceDN/>
        <w:bidi w:val="0"/>
        <w:adjustRightInd/>
        <w:spacing w:line="560" w:lineRule="exact"/>
        <w:ind w:right="0" w:firstLine="480" w:firstLineChars="200"/>
        <w:jc w:val="lef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谈判响应文件递交的截止时间（谈判申请截止时间，下同）为</w:t>
      </w:r>
      <w:r>
        <w:rPr>
          <w:rFonts w:hint="eastAsia" w:ascii="仿宋_GB2312" w:hAnsi="仿宋_GB2312" w:eastAsia="仿宋_GB2312" w:cs="仿宋_GB2312"/>
          <w:color w:val="000000"/>
          <w:sz w:val="24"/>
          <w:szCs w:val="24"/>
          <w:u w:val="single"/>
          <w:lang w:val="en-US" w:eastAsia="zh-CN"/>
        </w:rPr>
        <w:t>2021</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5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16</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17</w:t>
      </w:r>
      <w:r>
        <w:rPr>
          <w:rFonts w:hint="eastAsia" w:ascii="仿宋_GB2312" w:hAnsi="仿宋_GB2312" w:eastAsia="仿宋_GB2312" w:cs="仿宋_GB2312"/>
          <w:color w:val="000000"/>
          <w:sz w:val="24"/>
          <w:szCs w:val="24"/>
        </w:rPr>
        <w:t>时</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分，地点为</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spacing w:val="10"/>
          <w:sz w:val="24"/>
          <w:szCs w:val="24"/>
          <w:lang w:val="en-US" w:eastAsia="zh-CN"/>
        </w:rPr>
        <w:t>四川省成都市武侯区天府大道中段279号成达大厦10楼</w:t>
      </w:r>
      <w:r>
        <w:rPr>
          <w:rFonts w:hint="eastAsia" w:ascii="仿宋_GB2312" w:hAnsi="仿宋_GB2312" w:eastAsia="仿宋_GB2312" w:cs="仿宋_GB2312"/>
          <w:color w:val="000000"/>
          <w:sz w:val="24"/>
          <w:szCs w:val="24"/>
        </w:rPr>
        <w:t>。</w:t>
      </w:r>
    </w:p>
    <w:p>
      <w:pPr>
        <w:pageBreakBefore w:val="0"/>
        <w:widowControl w:val="0"/>
        <w:kinsoku/>
        <w:wordWrap/>
        <w:overflowPunct/>
        <w:topLinePunct w:val="0"/>
        <w:autoSpaceDE/>
        <w:autoSpaceDN/>
        <w:bidi w:val="0"/>
        <w:adjustRightInd/>
        <w:spacing w:line="560" w:lineRule="exact"/>
        <w:ind w:right="0" w:firstLine="480" w:firstLineChars="200"/>
        <w:jc w:val="left"/>
        <w:textAlignment w:val="auto"/>
        <w:rPr>
          <w:rFonts w:hint="eastAsia" w:ascii="仿宋_GB2312" w:hAnsi="仿宋_GB2312" w:eastAsia="仿宋_GB2312" w:cs="仿宋_GB2312"/>
          <w:spacing w:val="1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逾期送达的或者未送达指定地点的谈判响应文件，采购人不予受理。</w:t>
      </w:r>
    </w:p>
    <w:p>
      <w:pPr>
        <w:pageBreakBefore w:val="0"/>
        <w:widowControl w:val="0"/>
        <w:kinsoku/>
        <w:wordWrap/>
        <w:overflowPunct/>
        <w:topLinePunct w:val="0"/>
        <w:autoSpaceDE/>
        <w:autoSpaceDN/>
        <w:bidi w:val="0"/>
        <w:adjustRightInd/>
        <w:snapToGrid w:val="0"/>
        <w:spacing w:line="560" w:lineRule="exact"/>
        <w:ind w:right="0" w:firstLine="520" w:firstLineChars="200"/>
        <w:textAlignment w:val="auto"/>
        <w:rPr>
          <w:rFonts w:hint="eastAsia" w:ascii="仿宋_GB2312" w:hAnsi="仿宋_GB2312" w:eastAsia="仿宋_GB2312" w:cs="仿宋_GB2312"/>
          <w:b/>
          <w:spacing w:val="10"/>
          <w:sz w:val="24"/>
          <w:szCs w:val="24"/>
        </w:rPr>
      </w:pPr>
      <w:r>
        <w:rPr>
          <w:rFonts w:hint="eastAsia" w:ascii="黑体" w:hAnsi="黑体" w:eastAsia="黑体" w:cs="黑体"/>
          <w:b w:val="0"/>
          <w:bCs/>
          <w:spacing w:val="10"/>
          <w:sz w:val="24"/>
          <w:szCs w:val="24"/>
        </w:rPr>
        <w:t>五、谈判时间及地点</w:t>
      </w:r>
      <w:r>
        <w:rPr>
          <w:rFonts w:hint="eastAsia" w:ascii="仿宋_GB2312" w:hAnsi="仿宋_GB2312" w:eastAsia="仿宋_GB2312" w:cs="仿宋_GB2312"/>
          <w:b/>
          <w:spacing w:val="10"/>
          <w:sz w:val="24"/>
          <w:szCs w:val="24"/>
        </w:rPr>
        <w:t xml:space="preserve"> </w:t>
      </w:r>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谈判时间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2022</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5</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18</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w:t>
      </w:r>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spacing w:val="1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谈判地点</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spacing w:val="10"/>
          <w:sz w:val="24"/>
          <w:szCs w:val="24"/>
          <w:lang w:val="en-US" w:eastAsia="zh-CN"/>
        </w:rPr>
        <w:t>四川省成都市</w:t>
      </w:r>
      <w:r>
        <w:rPr>
          <w:rFonts w:hint="eastAsia" w:ascii="仿宋_GB2312" w:hAnsi="仿宋_GB2312" w:eastAsia="仿宋_GB2312" w:cs="仿宋_GB2312"/>
          <w:b/>
          <w:bCs/>
          <w:kern w:val="2"/>
          <w:sz w:val="24"/>
          <w:szCs w:val="24"/>
          <w:lang w:val="en-US" w:eastAsia="zh-CN" w:bidi="ar-SA"/>
        </w:rPr>
        <w:t>武侯区天府大</w:t>
      </w:r>
      <w:r>
        <w:rPr>
          <w:rFonts w:hint="eastAsia" w:ascii="仿宋_GB2312" w:hAnsi="仿宋_GB2312" w:eastAsia="仿宋_GB2312" w:cs="仿宋_GB2312"/>
          <w:spacing w:val="10"/>
          <w:sz w:val="24"/>
          <w:szCs w:val="24"/>
          <w:lang w:val="en-US" w:eastAsia="zh-CN"/>
        </w:rPr>
        <w:t>道中段279号成达大厦10楼</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pacing w:val="10"/>
          <w:sz w:val="24"/>
          <w:szCs w:val="24"/>
        </w:rPr>
        <w:t xml:space="preserve"> </w:t>
      </w:r>
    </w:p>
    <w:p>
      <w:pPr>
        <w:pageBreakBefore w:val="0"/>
        <w:widowControl w:val="0"/>
        <w:kinsoku/>
        <w:wordWrap/>
        <w:overflowPunct/>
        <w:topLinePunct w:val="0"/>
        <w:autoSpaceDE/>
        <w:autoSpaceDN/>
        <w:bidi w:val="0"/>
        <w:adjustRightInd/>
        <w:snapToGrid w:val="0"/>
        <w:spacing w:line="560" w:lineRule="exact"/>
        <w:ind w:right="0" w:firstLine="520" w:firstLineChars="200"/>
        <w:textAlignment w:val="auto"/>
        <w:rPr>
          <w:rFonts w:hint="eastAsia" w:ascii="黑体" w:hAnsi="黑体" w:eastAsia="黑体" w:cs="黑体"/>
          <w:b w:val="0"/>
          <w:bCs/>
          <w:spacing w:val="10"/>
          <w:sz w:val="24"/>
          <w:szCs w:val="24"/>
        </w:rPr>
      </w:pPr>
      <w:r>
        <w:rPr>
          <w:rFonts w:hint="eastAsia" w:ascii="黑体" w:hAnsi="黑体" w:eastAsia="黑体" w:cs="黑体"/>
          <w:b w:val="0"/>
          <w:bCs/>
          <w:spacing w:val="10"/>
          <w:sz w:val="24"/>
          <w:szCs w:val="24"/>
        </w:rPr>
        <w:t>六、发布媒介</w:t>
      </w:r>
    </w:p>
    <w:p>
      <w:pPr>
        <w:pageBreakBefore w:val="0"/>
        <w:widowControl w:val="0"/>
        <w:kinsoku/>
        <w:wordWrap/>
        <w:overflowPunct/>
        <w:topLinePunct w:val="0"/>
        <w:autoSpaceDE/>
        <w:autoSpaceDN/>
        <w:bidi w:val="0"/>
        <w:adjustRightInd/>
        <w:spacing w:line="560" w:lineRule="exact"/>
        <w:ind w:right="0" w:firstLine="520" w:firstLineChars="200"/>
        <w:textAlignment w:val="auto"/>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本谈判公告在</w:t>
      </w:r>
      <w:r>
        <w:rPr>
          <w:rFonts w:hint="eastAsia" w:ascii="仿宋_GB2312" w:hAnsi="仿宋_GB2312" w:eastAsia="仿宋_GB2312" w:cs="仿宋_GB2312"/>
          <w:spacing w:val="10"/>
          <w:sz w:val="24"/>
          <w:szCs w:val="24"/>
          <w:u w:val="single"/>
          <w:lang w:eastAsia="zh-CN"/>
        </w:rPr>
        <w:t>四川能投</w:t>
      </w:r>
      <w:r>
        <w:rPr>
          <w:rFonts w:hint="eastAsia" w:ascii="仿宋_GB2312" w:hAnsi="仿宋_GB2312" w:eastAsia="仿宋_GB2312" w:cs="仿宋_GB2312"/>
          <w:spacing w:val="10"/>
          <w:sz w:val="24"/>
          <w:szCs w:val="24"/>
          <w:u w:val="single"/>
          <w:lang w:val="en-US" w:eastAsia="zh-CN"/>
        </w:rPr>
        <w:t>广元燃气发电有限公司</w:t>
      </w:r>
      <w:r>
        <w:rPr>
          <w:rFonts w:hint="eastAsia" w:ascii="仿宋_GB2312" w:hAnsi="仿宋_GB2312" w:eastAsia="仿宋_GB2312" w:cs="仿宋_GB2312"/>
          <w:spacing w:val="10"/>
          <w:sz w:val="24"/>
          <w:szCs w:val="24"/>
          <w:u w:val="single"/>
          <w:lang w:eastAsia="zh-CN"/>
        </w:rPr>
        <w:t>（https://gyrqfd.scnyw.com/）</w:t>
      </w:r>
      <w:r>
        <w:rPr>
          <w:rFonts w:hint="eastAsia" w:ascii="仿宋_GB2312" w:hAnsi="仿宋_GB2312" w:eastAsia="仿宋_GB2312" w:cs="仿宋_GB2312"/>
          <w:spacing w:val="10"/>
          <w:sz w:val="24"/>
          <w:szCs w:val="24"/>
        </w:rPr>
        <w:t>上发布。</w:t>
      </w:r>
    </w:p>
    <w:p>
      <w:pPr>
        <w:pageBreakBefore w:val="0"/>
        <w:widowControl w:val="0"/>
        <w:kinsoku/>
        <w:wordWrap/>
        <w:overflowPunct/>
        <w:topLinePunct w:val="0"/>
        <w:autoSpaceDE/>
        <w:autoSpaceDN/>
        <w:bidi w:val="0"/>
        <w:adjustRightInd/>
        <w:snapToGrid w:val="0"/>
        <w:spacing w:line="560" w:lineRule="exact"/>
        <w:ind w:right="0" w:firstLine="520" w:firstLineChars="200"/>
        <w:textAlignment w:val="auto"/>
        <w:rPr>
          <w:rFonts w:hint="eastAsia" w:ascii="黑体" w:hAnsi="黑体" w:eastAsia="黑体" w:cs="黑体"/>
          <w:b w:val="0"/>
          <w:bCs/>
          <w:spacing w:val="10"/>
          <w:sz w:val="24"/>
          <w:szCs w:val="24"/>
          <w:lang w:val="en-US" w:eastAsia="zh-CN"/>
        </w:rPr>
      </w:pPr>
      <w:r>
        <w:rPr>
          <w:rFonts w:hint="eastAsia" w:ascii="黑体" w:hAnsi="黑体" w:eastAsia="黑体" w:cs="黑体"/>
          <w:b w:val="0"/>
          <w:bCs/>
          <w:spacing w:val="10"/>
          <w:sz w:val="24"/>
          <w:szCs w:val="24"/>
          <w:lang w:val="en-US" w:eastAsia="zh-CN"/>
        </w:rPr>
        <w:t>七、确认</w:t>
      </w:r>
    </w:p>
    <w:p>
      <w:pPr>
        <w:pStyle w:val="2"/>
        <w:pageBreakBefore w:val="0"/>
        <w:widowControl w:val="0"/>
        <w:numPr>
          <w:ilvl w:val="4"/>
          <w:numId w:val="0"/>
        </w:numPr>
        <w:kinsoku/>
        <w:wordWrap/>
        <w:overflowPunct/>
        <w:topLinePunct w:val="0"/>
        <w:autoSpaceDE/>
        <w:autoSpaceDN/>
        <w:bidi w:val="0"/>
        <w:adjustRightInd/>
        <w:spacing w:before="0" w:after="0" w:line="560" w:lineRule="exact"/>
        <w:ind w:right="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请有意向参与本次竞争性谈判的单位于2022年 5 月17 日24时00分前以邮件方式予以确认。</w:t>
      </w:r>
    </w:p>
    <w:p>
      <w:pPr>
        <w:pageBreakBefore w:val="0"/>
        <w:widowControl w:val="0"/>
        <w:kinsoku/>
        <w:wordWrap/>
        <w:overflowPunct/>
        <w:topLinePunct w:val="0"/>
        <w:autoSpaceDE/>
        <w:autoSpaceDN/>
        <w:bidi w:val="0"/>
        <w:adjustRightInd/>
        <w:snapToGrid w:val="0"/>
        <w:spacing w:line="560" w:lineRule="exact"/>
        <w:ind w:right="0" w:firstLine="520" w:firstLineChars="200"/>
        <w:textAlignment w:val="auto"/>
        <w:rPr>
          <w:rFonts w:hint="eastAsia" w:ascii="黑体" w:hAnsi="黑体" w:eastAsia="黑体" w:cs="黑体"/>
          <w:b w:val="0"/>
          <w:bCs/>
          <w:spacing w:val="10"/>
          <w:sz w:val="24"/>
          <w:szCs w:val="24"/>
          <w:lang w:val="en-US" w:eastAsia="zh-CN"/>
        </w:rPr>
      </w:pPr>
      <w:r>
        <w:rPr>
          <w:rFonts w:hint="eastAsia" w:ascii="黑体" w:hAnsi="黑体" w:eastAsia="黑体" w:cs="黑体"/>
          <w:b w:val="0"/>
          <w:bCs/>
          <w:spacing w:val="10"/>
          <w:sz w:val="24"/>
          <w:szCs w:val="24"/>
          <w:lang w:val="en-US" w:eastAsia="zh-CN"/>
        </w:rPr>
        <w:t>八、联系方式</w:t>
      </w:r>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采购人（全称）：</w:t>
      </w:r>
      <w:r>
        <w:rPr>
          <w:rFonts w:hint="eastAsia" w:ascii="仿宋_GB2312" w:hAnsi="仿宋_GB2312" w:eastAsia="仿宋_GB2312" w:cs="仿宋_GB2312"/>
          <w:b/>
          <w:bCs/>
          <w:color w:val="000000"/>
          <w:sz w:val="24"/>
          <w:szCs w:val="24"/>
          <w:u w:val="single"/>
          <w:lang w:eastAsia="zh-CN"/>
        </w:rPr>
        <w:t>四川能投</w:t>
      </w:r>
      <w:r>
        <w:rPr>
          <w:rFonts w:hint="eastAsia" w:ascii="仿宋_GB2312" w:hAnsi="仿宋_GB2312" w:eastAsia="仿宋_GB2312" w:cs="仿宋_GB2312"/>
          <w:b/>
          <w:bCs/>
          <w:color w:val="000000"/>
          <w:sz w:val="24"/>
          <w:szCs w:val="24"/>
          <w:u w:val="single"/>
          <w:lang w:val="en-US" w:eastAsia="zh-CN"/>
        </w:rPr>
        <w:t>广元燃气发电</w:t>
      </w:r>
      <w:r>
        <w:rPr>
          <w:rFonts w:hint="eastAsia" w:ascii="仿宋_GB2312" w:hAnsi="仿宋_GB2312" w:eastAsia="仿宋_GB2312" w:cs="仿宋_GB2312"/>
          <w:b/>
          <w:bCs/>
          <w:color w:val="000000"/>
          <w:sz w:val="24"/>
          <w:szCs w:val="24"/>
          <w:u w:val="single"/>
          <w:lang w:eastAsia="zh-CN"/>
        </w:rPr>
        <w:t>有限公司</w:t>
      </w:r>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b/>
          <w:bCs/>
          <w:color w:val="000000"/>
          <w:sz w:val="24"/>
          <w:szCs w:val="24"/>
          <w:u w:val="single"/>
          <w:lang w:val="en-US" w:eastAsia="zh-CN"/>
        </w:rPr>
      </w:pPr>
      <w:r>
        <w:rPr>
          <w:rFonts w:hint="eastAsia" w:ascii="仿宋_GB2312" w:hAnsi="仿宋_GB2312" w:eastAsia="仿宋_GB2312" w:cs="仿宋_GB2312"/>
          <w:sz w:val="24"/>
          <w:szCs w:val="24"/>
        </w:rPr>
        <w:t>地  址：</w:t>
      </w:r>
      <w:r>
        <w:rPr>
          <w:rFonts w:hint="eastAsia" w:ascii="仿宋_GB2312" w:hAnsi="仿宋_GB2312" w:eastAsia="仿宋_GB2312" w:cs="仿宋_GB2312"/>
          <w:b/>
          <w:bCs/>
          <w:spacing w:val="10"/>
          <w:sz w:val="24"/>
          <w:szCs w:val="24"/>
          <w:lang w:val="en-US" w:eastAsia="zh-CN"/>
        </w:rPr>
        <w:t>四川省成都市武侯区天府大道中段279号成达大厦10楼</w:t>
      </w:r>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b/>
          <w:bCs/>
          <w:color w:val="333399"/>
          <w:sz w:val="24"/>
          <w:szCs w:val="24"/>
        </w:rPr>
      </w:pPr>
      <w:r>
        <w:rPr>
          <w:rFonts w:hint="eastAsia" w:ascii="仿宋_GB2312" w:hAnsi="仿宋_GB2312" w:eastAsia="仿宋_GB2312" w:cs="仿宋_GB2312"/>
          <w:sz w:val="24"/>
          <w:szCs w:val="24"/>
        </w:rPr>
        <w:t>邮  编：</w:t>
      </w:r>
      <w:r>
        <w:rPr>
          <w:rFonts w:hint="eastAsia" w:ascii="仿宋_GB2312" w:hAnsi="仿宋_GB2312" w:eastAsia="仿宋_GB2312" w:cs="仿宋_GB2312"/>
          <w:b/>
          <w:bCs/>
          <w:color w:val="000000"/>
          <w:sz w:val="24"/>
          <w:szCs w:val="24"/>
          <w:u w:val="single"/>
        </w:rPr>
        <w:t xml:space="preserve"> </w:t>
      </w:r>
      <w:r>
        <w:rPr>
          <w:rFonts w:hint="eastAsia" w:ascii="仿宋_GB2312" w:hAnsi="仿宋_GB2312" w:eastAsia="仿宋_GB2312" w:cs="仿宋_GB2312"/>
          <w:b/>
          <w:bCs/>
          <w:color w:val="000000"/>
          <w:sz w:val="24"/>
          <w:szCs w:val="24"/>
          <w:u w:val="single"/>
          <w:lang w:val="en-US" w:eastAsia="zh-CN"/>
        </w:rPr>
        <w:t>610095</w:t>
      </w:r>
      <w:r>
        <w:rPr>
          <w:rFonts w:hint="eastAsia" w:ascii="仿宋_GB2312" w:hAnsi="仿宋_GB2312" w:eastAsia="仿宋_GB2312" w:cs="仿宋_GB2312"/>
          <w:b/>
          <w:bCs/>
          <w:color w:val="000000"/>
          <w:sz w:val="24"/>
          <w:szCs w:val="24"/>
          <w:u w:val="single"/>
        </w:rPr>
        <w:t xml:space="preserve"> </w:t>
      </w:r>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联系人：</w:t>
      </w:r>
      <w:r>
        <w:rPr>
          <w:rFonts w:hint="eastAsia" w:ascii="仿宋_GB2312" w:hAnsi="仿宋_GB2312" w:eastAsia="仿宋_GB2312" w:cs="仿宋_GB2312"/>
          <w:b/>
          <w:bCs/>
          <w:sz w:val="24"/>
          <w:szCs w:val="24"/>
          <w:u w:val="single"/>
          <w:lang w:val="en-US" w:eastAsia="zh-CN"/>
        </w:rPr>
        <w:t>吴</w:t>
      </w:r>
      <w:r>
        <w:rPr>
          <w:rFonts w:hint="eastAsia" w:ascii="仿宋_GB2312" w:hAnsi="仿宋_GB2312" w:eastAsia="仿宋_GB2312" w:cs="仿宋_GB2312"/>
          <w:b/>
          <w:bCs/>
          <w:color w:val="000000"/>
          <w:sz w:val="24"/>
          <w:szCs w:val="24"/>
          <w:u w:val="single"/>
          <w:lang w:eastAsia="zh-CN"/>
        </w:rPr>
        <w:t>先生</w:t>
      </w:r>
      <w:r>
        <w:rPr>
          <w:rFonts w:hint="eastAsia" w:ascii="仿宋_GB2312" w:hAnsi="仿宋_GB2312" w:eastAsia="仿宋_GB2312" w:cs="仿宋_GB2312"/>
          <w:b/>
          <w:bCs/>
          <w:color w:val="000000"/>
          <w:sz w:val="24"/>
          <w:szCs w:val="24"/>
          <w:u w:val="single"/>
        </w:rPr>
        <w:t xml:space="preserve"> </w:t>
      </w:r>
    </w:p>
    <w:p>
      <w:pPr>
        <w:pageBreakBefore w:val="0"/>
        <w:widowControl w:val="0"/>
        <w:kinsoku/>
        <w:wordWrap/>
        <w:overflowPunct/>
        <w:topLinePunct w:val="0"/>
        <w:autoSpaceDE/>
        <w:autoSpaceDN/>
        <w:bidi w:val="0"/>
        <w:adjustRightInd/>
        <w:spacing w:line="560" w:lineRule="exact"/>
        <w:ind w:right="0" w:firstLine="480" w:firstLineChars="200"/>
        <w:textAlignment w:val="auto"/>
        <w:rPr>
          <w:rFonts w:hint="eastAsia" w:ascii="仿宋_GB2312" w:hAnsi="仿宋_GB2312" w:eastAsia="仿宋_GB2312" w:cs="仿宋_GB2312"/>
          <w:b/>
          <w:bCs/>
          <w:color w:val="000000"/>
          <w:sz w:val="24"/>
          <w:szCs w:val="24"/>
          <w:u w:val="single"/>
          <w:lang w:val="en-US" w:eastAsia="zh-CN"/>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b/>
          <w:bCs/>
          <w:color w:val="000000"/>
          <w:sz w:val="24"/>
          <w:szCs w:val="24"/>
          <w:u w:val="single"/>
          <w:lang w:val="en-US" w:eastAsia="zh-CN"/>
        </w:rPr>
        <w:t xml:space="preserve">15692888570  </w:t>
      </w:r>
    </w:p>
    <w:p>
      <w:pPr>
        <w:pStyle w:val="2"/>
        <w:pageBreakBefore w:val="0"/>
        <w:widowControl w:val="0"/>
        <w:numPr>
          <w:ilvl w:val="4"/>
          <w:numId w:val="0"/>
        </w:numPr>
        <w:kinsoku/>
        <w:wordWrap/>
        <w:overflowPunct/>
        <w:topLinePunct w:val="0"/>
        <w:autoSpaceDE/>
        <w:autoSpaceDN/>
        <w:bidi w:val="0"/>
        <w:adjustRightInd/>
        <w:spacing w:before="0" w:after="0" w:line="560" w:lineRule="exact"/>
        <w:ind w:right="0" w:firstLine="480" w:firstLineChars="200"/>
        <w:textAlignment w:val="auto"/>
        <w:rPr>
          <w:rFonts w:hint="eastAsia" w:ascii="仿宋_GB2312" w:hAnsi="仿宋_GB2312" w:eastAsia="仿宋_GB2312" w:cs="仿宋_GB2312"/>
          <w:b/>
          <w:bCs/>
          <w:sz w:val="24"/>
          <w:szCs w:val="24"/>
          <w:u w:val="single"/>
          <w:lang w:val="en-US" w:eastAsia="zh-CN"/>
        </w:rPr>
      </w:pPr>
      <w:r>
        <w:rPr>
          <w:rFonts w:hint="eastAsia" w:ascii="仿宋_GB2312" w:hAnsi="仿宋_GB2312" w:eastAsia="仿宋_GB2312" w:cs="仿宋_GB2312"/>
          <w:b w:val="0"/>
          <w:bCs w:val="0"/>
          <w:sz w:val="24"/>
          <w:szCs w:val="24"/>
          <w:lang w:val="en-US" w:eastAsia="zh-CN"/>
        </w:rPr>
        <w:t>联系邮箱：</w:t>
      </w:r>
      <w:r>
        <w:rPr>
          <w:rFonts w:hint="eastAsia" w:ascii="仿宋_GB2312" w:hAnsi="仿宋_GB2312" w:eastAsia="仿宋_GB2312" w:cs="仿宋_GB2312"/>
          <w:b/>
          <w:bCs/>
          <w:sz w:val="24"/>
          <w:szCs w:val="24"/>
          <w:u w:val="single"/>
          <w:lang w:val="en-US" w:eastAsia="zh-CN"/>
        </w:rPr>
        <w:t>1025963100@qq.com</w:t>
      </w:r>
    </w:p>
    <w:p>
      <w:pPr>
        <w:pageBreakBefore w:val="0"/>
        <w:widowControl w:val="0"/>
        <w:kinsoku/>
        <w:wordWrap/>
        <w:overflowPunct/>
        <w:topLinePunct w:val="0"/>
        <w:autoSpaceDE/>
        <w:autoSpaceDN/>
        <w:bidi w:val="0"/>
        <w:adjustRightInd/>
        <w:spacing w:line="560" w:lineRule="exact"/>
        <w:ind w:right="0" w:firstLine="480" w:firstLineChars="200"/>
        <w:jc w:val="right"/>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pacing w:line="560" w:lineRule="exact"/>
        <w:ind w:right="0" w:firstLine="482"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2022</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5</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11 </w:t>
      </w:r>
      <w:r>
        <w:rPr>
          <w:rFonts w:hint="eastAsia" w:ascii="仿宋_GB2312" w:hAnsi="仿宋_GB2312" w:eastAsia="仿宋_GB2312" w:cs="仿宋_GB2312"/>
          <w:sz w:val="24"/>
          <w:szCs w:val="24"/>
        </w:rPr>
        <w:t>日</w:t>
      </w:r>
    </w:p>
    <w:p>
      <w:pPr>
        <w:pStyle w:val="15"/>
        <w:kinsoku/>
        <w:overflowPunct/>
        <w:topLinePunct w:val="0"/>
        <w:bidi w:val="0"/>
        <w:spacing w:after="50" w:afterAutospacing="0" w:line="560" w:lineRule="exact"/>
        <w:ind w:right="800"/>
        <w:jc w:val="right"/>
        <w:rPr>
          <w:rFonts w:cs="宋体"/>
          <w:kern w:val="2"/>
          <w:sz w:val="24"/>
          <w:szCs w:val="24"/>
        </w:rPr>
      </w:pPr>
    </w:p>
    <w:p>
      <w:pPr>
        <w:kinsoku/>
        <w:overflowPunct/>
        <w:topLinePunct w:val="0"/>
        <w:bidi w:val="0"/>
        <w:spacing w:line="560" w:lineRule="exact"/>
        <w:rPr>
          <w:rFonts w:hint="eastAsia" w:ascii="宋体" w:hAnsi="宋体" w:cs="宋体"/>
          <w:szCs w:val="32"/>
        </w:rPr>
      </w:pPr>
      <w:bookmarkStart w:id="15" w:name="_Toc466206534"/>
      <w:r>
        <w:rPr>
          <w:rFonts w:hint="eastAsia" w:ascii="宋体" w:hAnsi="宋体" w:cs="宋体"/>
          <w:szCs w:val="32"/>
        </w:rPr>
        <w:br w:type="page"/>
      </w:r>
    </w:p>
    <w:p>
      <w:pPr>
        <w:pStyle w:val="4"/>
        <w:kinsoku/>
        <w:overflowPunct/>
        <w:topLinePunct w:val="0"/>
        <w:bidi w:val="0"/>
        <w:spacing w:before="0" w:after="0" w:line="560" w:lineRule="exact"/>
        <w:jc w:val="center"/>
        <w:rPr>
          <w:rFonts w:ascii="宋体" w:hAnsi="宋体" w:cs="宋体"/>
          <w:szCs w:val="32"/>
        </w:rPr>
      </w:pPr>
      <w:r>
        <w:rPr>
          <w:rFonts w:hint="eastAsia" w:ascii="宋体" w:hAnsi="宋体" w:cs="宋体"/>
          <w:szCs w:val="32"/>
        </w:rPr>
        <w:t>第二章  谈判须知</w:t>
      </w:r>
      <w:bookmarkEnd w:id="6"/>
      <w:bookmarkEnd w:id="7"/>
      <w:bookmarkEnd w:id="8"/>
      <w:bookmarkEnd w:id="9"/>
      <w:bookmarkEnd w:id="10"/>
      <w:bookmarkEnd w:id="15"/>
      <w:bookmarkStart w:id="16" w:name="_Toc184274915"/>
      <w:bookmarkStart w:id="17" w:name="_Toc184283909"/>
    </w:p>
    <w:p>
      <w:pPr>
        <w:kinsoku/>
        <w:overflowPunct/>
        <w:topLinePunct w:val="0"/>
        <w:bidi w:val="0"/>
        <w:spacing w:line="560" w:lineRule="exact"/>
        <w:jc w:val="center"/>
        <w:rPr>
          <w:rFonts w:ascii="宋体" w:hAnsi="宋体" w:cs="宋体"/>
          <w:b/>
          <w:sz w:val="28"/>
          <w:szCs w:val="28"/>
        </w:rPr>
      </w:pPr>
      <w:bookmarkStart w:id="18" w:name="_Toc217446032"/>
      <w:bookmarkStart w:id="19" w:name="_Toc213396760"/>
      <w:bookmarkStart w:id="20" w:name="_Toc189727030"/>
      <w:bookmarkStart w:id="21" w:name="_Toc213397010"/>
      <w:bookmarkStart w:id="22" w:name="_Toc213496268"/>
      <w:bookmarkStart w:id="23" w:name="_Toc213396946"/>
      <w:r>
        <w:rPr>
          <w:rFonts w:hint="eastAsia" w:ascii="宋体" w:hAnsi="宋体" w:cs="宋体"/>
          <w:b/>
          <w:sz w:val="28"/>
          <w:szCs w:val="28"/>
        </w:rPr>
        <w:t>谈判须知前附表</w:t>
      </w:r>
      <w:bookmarkEnd w:id="11"/>
      <w:bookmarkEnd w:id="12"/>
      <w:bookmarkEnd w:id="13"/>
      <w:bookmarkEnd w:id="14"/>
      <w:bookmarkEnd w:id="16"/>
      <w:bookmarkEnd w:id="17"/>
      <w:bookmarkEnd w:id="18"/>
      <w:bookmarkEnd w:id="19"/>
      <w:bookmarkEnd w:id="20"/>
      <w:bookmarkEnd w:id="21"/>
      <w:bookmarkEnd w:id="22"/>
      <w:bookmarkEnd w:id="23"/>
      <w:bookmarkStart w:id="24" w:name="_Toc217446033"/>
      <w:bookmarkStart w:id="25" w:name="_Toc183682341"/>
      <w:bookmarkStart w:id="26" w:name="_Toc77400778"/>
      <w:bookmarkStart w:id="27" w:name="_Toc183582204"/>
      <w:bookmarkStart w:id="28" w:name="_Toc89075873"/>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12"/>
        <w:gridCol w:w="2408"/>
        <w:gridCol w:w="6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6" w:hRule="exact"/>
          <w:tblHeader/>
          <w:jc w:val="center"/>
        </w:trPr>
        <w:tc>
          <w:tcPr>
            <w:tcW w:w="1012" w:type="dxa"/>
            <w:noWrap w:val="0"/>
            <w:vAlign w:val="center"/>
          </w:tcPr>
          <w:p>
            <w:pPr>
              <w:kinsoku/>
              <w:overflowPunct/>
              <w:topLinePunct w:val="0"/>
              <w:bidi w:val="0"/>
              <w:spacing w:line="560" w:lineRule="exact"/>
              <w:jc w:val="center"/>
              <w:rPr>
                <w:rFonts w:ascii="宋体" w:hAnsi="宋体" w:cs="宋体"/>
                <w:b/>
                <w:sz w:val="24"/>
                <w:szCs w:val="24"/>
              </w:rPr>
            </w:pPr>
            <w:r>
              <w:rPr>
                <w:rFonts w:hint="eastAsia" w:ascii="宋体" w:hAnsi="宋体" w:cs="宋体"/>
                <w:b/>
                <w:sz w:val="24"/>
                <w:szCs w:val="24"/>
              </w:rPr>
              <w:t>序号</w:t>
            </w:r>
          </w:p>
        </w:tc>
        <w:tc>
          <w:tcPr>
            <w:tcW w:w="2408" w:type="dxa"/>
            <w:noWrap w:val="0"/>
            <w:vAlign w:val="center"/>
          </w:tcPr>
          <w:p>
            <w:pPr>
              <w:kinsoku/>
              <w:overflowPunct/>
              <w:topLinePunct w:val="0"/>
              <w:bidi w:val="0"/>
              <w:spacing w:line="560" w:lineRule="exact"/>
              <w:jc w:val="center"/>
              <w:rPr>
                <w:rFonts w:ascii="宋体" w:hAnsi="宋体" w:cs="宋体"/>
                <w:b/>
                <w:sz w:val="24"/>
                <w:szCs w:val="24"/>
              </w:rPr>
            </w:pPr>
            <w:r>
              <w:rPr>
                <w:rFonts w:hint="eastAsia" w:ascii="宋体" w:hAnsi="宋体" w:cs="宋体"/>
                <w:b/>
                <w:sz w:val="24"/>
                <w:szCs w:val="24"/>
              </w:rPr>
              <w:t>条款名称</w:t>
            </w:r>
          </w:p>
        </w:tc>
        <w:tc>
          <w:tcPr>
            <w:tcW w:w="6081" w:type="dxa"/>
            <w:noWrap w:val="0"/>
            <w:vAlign w:val="center"/>
          </w:tcPr>
          <w:p>
            <w:pPr>
              <w:kinsoku/>
              <w:overflowPunct/>
              <w:topLinePunct w:val="0"/>
              <w:bidi w:val="0"/>
              <w:spacing w:line="560" w:lineRule="exact"/>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3" w:hRule="atLeas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名  称：</w:t>
            </w:r>
            <w:r>
              <w:rPr>
                <w:rFonts w:hint="eastAsia" w:ascii="仿宋_GB2312" w:hAnsi="仿宋_GB2312" w:eastAsia="仿宋_GB2312" w:cs="仿宋_GB2312"/>
                <w:sz w:val="24"/>
                <w:szCs w:val="24"/>
                <w:lang w:val="en-US" w:eastAsia="zh-CN"/>
              </w:rPr>
              <w:t>四川能投广元燃气发电有限公司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r>
              <w:rPr>
                <w:rFonts w:hint="eastAsia" w:ascii="仿宋_GB2312" w:hAnsi="仿宋_GB2312" w:eastAsia="仿宋_GB2312" w:cs="仿宋_GB2312"/>
                <w:b w:val="0"/>
                <w:bCs w:val="0"/>
                <w:spacing w:val="10"/>
                <w:sz w:val="24"/>
                <w:szCs w:val="24"/>
                <w:lang w:val="en-US" w:eastAsia="zh-CN"/>
              </w:rPr>
              <w:t>成都市武侯区天府大道中段279号成达大厦10楼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exac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采购项目名称</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广元燃机工程建设期生活用房</w:t>
            </w:r>
            <w:r>
              <w:rPr>
                <w:rFonts w:hint="eastAsia" w:ascii="仿宋_GB2312" w:hAnsi="仿宋_GB2312" w:eastAsia="仿宋_GB2312" w:cs="仿宋_GB2312"/>
                <w:sz w:val="24"/>
                <w:szCs w:val="24"/>
                <w:lang w:eastAsia="zh-CN"/>
              </w:rPr>
              <w:t>家具采购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exac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资金来源</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7" w:hRule="exac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公开竞争性谈判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5" w:hRule="atLeas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供货周期</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15个日历天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6" w:hRule="exac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质量要求</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产品达到国家现行验收规范合格标准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4" w:hRule="atLeas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□接受；</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eq \o\ac(</w:instrText>
            </w:r>
            <w:r>
              <w:rPr>
                <w:rFonts w:hint="eastAsia" w:ascii="仿宋_GB2312" w:hAnsi="仿宋_GB2312" w:eastAsia="仿宋_GB2312" w:cs="仿宋_GB2312"/>
                <w:position w:val="-4"/>
                <w:sz w:val="36"/>
                <w:szCs w:val="24"/>
              </w:rPr>
              <w:instrText xml:space="preserve">□</w:instrText>
            </w:r>
            <w:r>
              <w:rPr>
                <w:rFonts w:hint="eastAsia" w:ascii="仿宋_GB2312" w:hAnsi="仿宋_GB2312" w:eastAsia="仿宋_GB2312" w:cs="仿宋_GB2312"/>
                <w:position w:val="0"/>
                <w:sz w:val="24"/>
                <w:szCs w:val="24"/>
              </w:rPr>
              <w:instrText xml:space="preserve">,√)</w:instrTex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不接受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72" w:hRule="atLeas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答疑会</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eq \o\ac(</w:instrText>
            </w:r>
            <w:r>
              <w:rPr>
                <w:rFonts w:hint="eastAsia" w:ascii="仿宋_GB2312" w:hAnsi="仿宋_GB2312" w:eastAsia="仿宋_GB2312" w:cs="仿宋_GB2312"/>
                <w:position w:val="-4"/>
                <w:sz w:val="36"/>
                <w:szCs w:val="24"/>
              </w:rPr>
              <w:instrText xml:space="preserve">□</w:instrText>
            </w:r>
            <w:r>
              <w:rPr>
                <w:rFonts w:hint="eastAsia" w:ascii="仿宋_GB2312" w:hAnsi="仿宋_GB2312" w:eastAsia="仿宋_GB2312" w:cs="仿宋_GB2312"/>
                <w:position w:val="0"/>
                <w:sz w:val="24"/>
                <w:szCs w:val="24"/>
              </w:rPr>
              <w:instrText xml:space="preserve">,√)</w:instrTex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不召开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□召开，召开时间：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召开地点：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注：本项为单项选择。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9" w:hRule="atLeas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响应人对竞争性谈判文件提出质疑的时间</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自竞争性谈判文件发售时间起的</w:t>
            </w:r>
            <w:r>
              <w:rPr>
                <w:rFonts w:hint="eastAsia" w:ascii="仿宋_GB2312" w:hAnsi="仿宋_GB2312" w:eastAsia="仿宋_GB2312" w:cs="仿宋_GB2312"/>
                <w:sz w:val="24"/>
                <w:szCs w:val="24"/>
                <w:lang w:eastAsia="zh-CN"/>
              </w:rPr>
              <w:t>两</w:t>
            </w:r>
            <w:r>
              <w:rPr>
                <w:rFonts w:hint="eastAsia" w:ascii="仿宋_GB2312" w:hAnsi="仿宋_GB2312" w:eastAsia="仿宋_GB2312" w:cs="仿宋_GB2312"/>
                <w:sz w:val="24"/>
                <w:szCs w:val="24"/>
              </w:rPr>
              <w:t>个工作日内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11" w:hRule="exac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分包</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eq \o\ac(</w:instrText>
            </w:r>
            <w:r>
              <w:rPr>
                <w:rFonts w:hint="eastAsia" w:ascii="仿宋_GB2312" w:hAnsi="仿宋_GB2312" w:eastAsia="仿宋_GB2312" w:cs="仿宋_GB2312"/>
                <w:position w:val="-4"/>
                <w:sz w:val="36"/>
                <w:szCs w:val="24"/>
              </w:rPr>
              <w:instrText xml:space="preserve">□</w:instrText>
            </w:r>
            <w:r>
              <w:rPr>
                <w:rFonts w:hint="eastAsia" w:ascii="仿宋_GB2312" w:hAnsi="仿宋_GB2312" w:eastAsia="仿宋_GB2312" w:cs="仿宋_GB2312"/>
                <w:position w:val="0"/>
                <w:sz w:val="24"/>
                <w:szCs w:val="24"/>
              </w:rPr>
              <w:instrText xml:space="preserve">,√)</w:instrTex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不允许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□允许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注：本项为单项选择。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14" w:hRule="exac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构成竞争性谈判文件的其他文件</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竞争性谈判文件的澄清、修改书及有关补充通知为竞争性谈判文件的有效组成部分。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exac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谈判有效期</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谈判截止时间后</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个日历天内。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6" w:hRule="exac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签字盖章</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响应人必须按照竞争性谈判文件的规定和要求签字、盖章(法人代表的签字可用具有法定效力的签字章)。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3" w:hRule="exac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竞谈响应文件份数</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正本1份；</w:t>
            </w:r>
            <w:r>
              <w:rPr>
                <w:rFonts w:hint="eastAsia" w:ascii="仿宋_GB2312" w:hAnsi="仿宋_GB2312" w:eastAsia="仿宋_GB2312" w:cs="仿宋_GB2312"/>
                <w:sz w:val="24"/>
                <w:szCs w:val="24"/>
                <w:highlight w:val="none"/>
              </w:rPr>
              <w:t>副本</w:t>
            </w:r>
            <w:r>
              <w:rPr>
                <w:rFonts w:hint="eastAsia" w:ascii="仿宋_GB2312" w:hAnsi="仿宋_GB2312" w:eastAsia="仿宋_GB2312" w:cs="仿宋_GB2312"/>
                <w:sz w:val="24"/>
                <w:szCs w:val="24"/>
                <w:highlight w:val="none"/>
                <w:u w:val="single"/>
                <w:lang w:val="en-US" w:eastAsia="zh-CN"/>
              </w:rPr>
              <w:t>2</w:t>
            </w:r>
            <w:r>
              <w:rPr>
                <w:rFonts w:hint="eastAsia" w:ascii="仿宋_GB2312" w:hAnsi="仿宋_GB2312" w:eastAsia="仿宋_GB2312" w:cs="仿宋_GB2312"/>
                <w:sz w:val="24"/>
                <w:szCs w:val="24"/>
                <w:highlight w:val="none"/>
              </w:rPr>
              <w:t>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电子文档</w:t>
            </w:r>
            <w:r>
              <w:rPr>
                <w:rFonts w:hint="eastAsia" w:ascii="仿宋_GB2312" w:hAnsi="仿宋_GB2312" w:eastAsia="仿宋_GB2312" w:cs="仿宋_GB2312"/>
                <w:sz w:val="24"/>
                <w:szCs w:val="24"/>
                <w:u w:val="single"/>
              </w:rPr>
              <w:t>U</w:t>
            </w:r>
            <w:r>
              <w:rPr>
                <w:rFonts w:hint="eastAsia" w:ascii="仿宋_GB2312" w:hAnsi="仿宋_GB2312" w:eastAsia="仿宋_GB2312" w:cs="仿宋_GB2312"/>
                <w:sz w:val="24"/>
                <w:szCs w:val="24"/>
              </w:rPr>
              <w:t>盘</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75" w:hRule="atLeast"/>
          <w:jc w:val="center"/>
        </w:trPr>
        <w:tc>
          <w:tcPr>
            <w:tcW w:w="101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0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竞谈响应文件封面的标注</w:t>
            </w:r>
          </w:p>
        </w:tc>
        <w:tc>
          <w:tcPr>
            <w:tcW w:w="6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竞谈响应文件正本和副本的封面上均应标明：竞争性谈判项目名称、标段号(如涉及则标明)、响应人名称、年月日；并分别在右上角标明“正本”和“副本”字样。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6" w:hRule="atLeast"/>
          <w:jc w:val="center"/>
        </w:trPr>
        <w:tc>
          <w:tcPr>
            <w:tcW w:w="101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0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竞谈响应文件外层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密封袋的标注</w:t>
            </w:r>
          </w:p>
        </w:tc>
        <w:tc>
          <w:tcPr>
            <w:tcW w:w="608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竞争性谈判项目名称、标段号(如涉及则标明)、响应人名称、年月日。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是否授权谈判小组直接确定成交响应人</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eq \o\ac(</w:instrText>
            </w:r>
            <w:r>
              <w:rPr>
                <w:rFonts w:hint="eastAsia" w:ascii="仿宋_GB2312" w:hAnsi="仿宋_GB2312" w:eastAsia="仿宋_GB2312" w:cs="仿宋_GB2312"/>
                <w:position w:val="-4"/>
                <w:sz w:val="36"/>
                <w:szCs w:val="24"/>
              </w:rPr>
              <w:instrText xml:space="preserve">□</w:instrText>
            </w:r>
            <w:r>
              <w:rPr>
                <w:rFonts w:hint="eastAsia" w:ascii="仿宋_GB2312" w:hAnsi="仿宋_GB2312" w:eastAsia="仿宋_GB2312" w:cs="仿宋_GB2312"/>
                <w:position w:val="0"/>
                <w:sz w:val="24"/>
                <w:szCs w:val="24"/>
              </w:rPr>
              <w:instrText xml:space="preserve">,√)</w:instrTex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否，推荐成交候选响应人的数量：</w:t>
            </w:r>
            <w:r>
              <w:rPr>
                <w:rFonts w:hint="eastAsia" w:ascii="仿宋_GB2312" w:hAnsi="仿宋_GB2312" w:eastAsia="仿宋_GB2312" w:cs="仿宋_GB2312"/>
                <w:sz w:val="24"/>
                <w:szCs w:val="24"/>
                <w:u w:val="single"/>
                <w:lang w:val="en-US" w:eastAsia="zh-CN"/>
              </w:rPr>
              <w:t>1～3</w:t>
            </w:r>
            <w:r>
              <w:rPr>
                <w:rFonts w:hint="eastAsia" w:ascii="仿宋_GB2312" w:hAnsi="仿宋_GB2312" w:eastAsia="仿宋_GB2312" w:cs="仿宋_GB2312"/>
                <w:sz w:val="24"/>
                <w:szCs w:val="24"/>
              </w:rPr>
              <w:t>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最高限价</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32万元（大写：叁拾贰万元整）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评审专家劳务费</w:t>
            </w:r>
          </w:p>
        </w:tc>
        <w:tc>
          <w:tcPr>
            <w:tcW w:w="60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本次评审专家劳务费由中标人承担，在合同预付款中扣除</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p>
      <w:pPr>
        <w:pStyle w:val="5"/>
        <w:kinsoku/>
        <w:overflowPunct/>
        <w:topLinePunct w:val="0"/>
        <w:bidi w:val="0"/>
        <w:spacing w:line="560" w:lineRule="exact"/>
        <w:jc w:val="center"/>
        <w:rPr>
          <w:rFonts w:ascii="宋体" w:hAnsi="宋体" w:eastAsia="宋体" w:cs="宋体"/>
          <w:sz w:val="32"/>
          <w:szCs w:val="32"/>
        </w:rPr>
      </w:pPr>
      <w:bookmarkStart w:id="29" w:name="_Toc325464814"/>
      <w:r>
        <w:rPr>
          <w:rFonts w:hint="eastAsia" w:ascii="宋体" w:hAnsi="宋体" w:eastAsia="宋体" w:cs="宋体"/>
        </w:rPr>
        <w:br w:type="page"/>
      </w:r>
      <w:r>
        <w:rPr>
          <w:rFonts w:hint="eastAsia" w:ascii="宋体" w:hAnsi="宋体" w:eastAsia="宋体" w:cs="宋体"/>
          <w:sz w:val="32"/>
          <w:szCs w:val="32"/>
        </w:rPr>
        <w:t>一、总  则</w:t>
      </w:r>
      <w:bookmarkEnd w:id="24"/>
      <w:bookmarkEnd w:id="25"/>
      <w:bookmarkEnd w:id="26"/>
      <w:bookmarkEnd w:id="27"/>
      <w:bookmarkEnd w:id="28"/>
      <w:bookmarkEnd w:id="29"/>
    </w:p>
    <w:p>
      <w:pPr>
        <w:pStyle w:val="6"/>
        <w:kinsoku/>
        <w:overflowPunct/>
        <w:topLinePunct w:val="0"/>
        <w:bidi w:val="0"/>
        <w:spacing w:before="0" w:after="0" w:line="560" w:lineRule="exact"/>
        <w:rPr>
          <w:rFonts w:ascii="宋体" w:hAnsi="宋体" w:cs="宋体"/>
          <w:sz w:val="28"/>
          <w:szCs w:val="28"/>
        </w:rPr>
      </w:pPr>
      <w:bookmarkStart w:id="30" w:name="_Toc183682342"/>
      <w:bookmarkStart w:id="31" w:name="_Toc183582205"/>
      <w:bookmarkStart w:id="32" w:name="_Toc325096466"/>
      <w:bookmarkStart w:id="33" w:name="_Toc317509231"/>
      <w:bookmarkStart w:id="34" w:name="_Toc317509384"/>
      <w:bookmarkStart w:id="35" w:name="_Toc325464815"/>
      <w:bookmarkStart w:id="36" w:name="_Toc217446034"/>
      <w:r>
        <w:rPr>
          <w:rFonts w:hint="eastAsia" w:ascii="宋体" w:hAnsi="宋体" w:cs="宋体"/>
          <w:sz w:val="28"/>
          <w:szCs w:val="28"/>
        </w:rPr>
        <w:t>1</w:t>
      </w:r>
      <w:bookmarkEnd w:id="30"/>
      <w:bookmarkEnd w:id="31"/>
      <w:r>
        <w:rPr>
          <w:rFonts w:hint="eastAsia" w:ascii="宋体" w:hAnsi="宋体" w:cs="宋体"/>
          <w:sz w:val="28"/>
          <w:szCs w:val="28"/>
        </w:rPr>
        <w:t>．适用范围</w:t>
      </w:r>
      <w:bookmarkEnd w:id="32"/>
      <w:bookmarkEnd w:id="33"/>
      <w:bookmarkEnd w:id="34"/>
      <w:bookmarkEnd w:id="35"/>
      <w:bookmarkEnd w:id="36"/>
    </w:p>
    <w:p>
      <w:pPr>
        <w:tabs>
          <w:tab w:val="left" w:pos="766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1.1 本竞争性谈判文件仅适用于本次竞争性谈判所叙述的货物项目采购。</w:t>
      </w:r>
    </w:p>
    <w:p>
      <w:pPr>
        <w:pStyle w:val="6"/>
        <w:kinsoku/>
        <w:overflowPunct/>
        <w:topLinePunct w:val="0"/>
        <w:bidi w:val="0"/>
        <w:spacing w:before="0" w:after="0" w:line="560" w:lineRule="exact"/>
        <w:rPr>
          <w:rFonts w:ascii="宋体" w:hAnsi="宋体" w:cs="宋体"/>
          <w:sz w:val="28"/>
          <w:szCs w:val="28"/>
        </w:rPr>
      </w:pPr>
      <w:bookmarkStart w:id="37" w:name="_Toc183682343"/>
      <w:bookmarkStart w:id="38" w:name="_Toc183582206"/>
      <w:bookmarkStart w:id="39" w:name="_Toc325464816"/>
      <w:bookmarkStart w:id="40" w:name="_Toc317509232"/>
      <w:bookmarkStart w:id="41" w:name="_Toc217446035"/>
      <w:bookmarkStart w:id="42" w:name="_Toc325096467"/>
      <w:bookmarkStart w:id="43" w:name="_Toc317509385"/>
      <w:r>
        <w:rPr>
          <w:rFonts w:hint="eastAsia" w:ascii="宋体" w:hAnsi="宋体" w:cs="宋体"/>
          <w:sz w:val="28"/>
          <w:szCs w:val="28"/>
        </w:rPr>
        <w:t>2</w:t>
      </w:r>
      <w:bookmarkEnd w:id="37"/>
      <w:bookmarkEnd w:id="38"/>
      <w:r>
        <w:rPr>
          <w:rFonts w:hint="eastAsia" w:ascii="宋体" w:hAnsi="宋体" w:cs="宋体"/>
          <w:sz w:val="28"/>
          <w:szCs w:val="28"/>
        </w:rPr>
        <w:t>．有关定义</w:t>
      </w:r>
      <w:bookmarkEnd w:id="39"/>
      <w:bookmarkEnd w:id="40"/>
      <w:bookmarkEnd w:id="41"/>
      <w:bookmarkEnd w:id="42"/>
      <w:bookmarkEnd w:id="43"/>
    </w:p>
    <w:p>
      <w:pPr>
        <w:tabs>
          <w:tab w:val="left" w:pos="766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2.1 本次竞争性谈判的采购人是</w:t>
      </w:r>
      <w:r>
        <w:rPr>
          <w:rFonts w:hint="eastAsia" w:ascii="宋体" w:hAnsi="宋体" w:cs="宋体"/>
          <w:sz w:val="24"/>
          <w:lang w:val="en-US" w:eastAsia="zh-CN"/>
        </w:rPr>
        <w:t xml:space="preserve"> </w:t>
      </w:r>
      <w:r>
        <w:rPr>
          <w:rFonts w:hint="eastAsia" w:ascii="宋体" w:hAnsi="宋体" w:cs="宋体"/>
          <w:sz w:val="24"/>
          <w:u w:val="single"/>
        </w:rPr>
        <w:t>四川能投</w:t>
      </w:r>
      <w:r>
        <w:rPr>
          <w:rFonts w:hint="eastAsia" w:ascii="宋体" w:hAnsi="宋体" w:cs="宋体"/>
          <w:sz w:val="24"/>
          <w:u w:val="single"/>
          <w:lang w:val="en-US" w:eastAsia="zh-CN"/>
        </w:rPr>
        <w:t>广元燃气发电</w:t>
      </w:r>
      <w:r>
        <w:rPr>
          <w:rFonts w:hint="eastAsia" w:ascii="宋体" w:hAnsi="宋体" w:cs="宋体"/>
          <w:sz w:val="24"/>
          <w:u w:val="single"/>
        </w:rPr>
        <w:t>有限公司</w:t>
      </w:r>
      <w:r>
        <w:rPr>
          <w:rFonts w:hint="eastAsia" w:ascii="宋体" w:hAnsi="宋体" w:cs="宋体"/>
          <w:sz w:val="24"/>
        </w:rPr>
        <w:t xml:space="preserve">。 </w:t>
      </w:r>
    </w:p>
    <w:p>
      <w:pPr>
        <w:tabs>
          <w:tab w:val="left" w:pos="766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2.2“采购人”系指 “采购单位”和“采购承办单位”的统称。</w:t>
      </w:r>
    </w:p>
    <w:p>
      <w:pPr>
        <w:tabs>
          <w:tab w:val="left" w:pos="766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2.3“响应人”系指购买了竞争性谈判文件拟参加谈判和向采购人提供相应服务的</w:t>
      </w:r>
      <w:r>
        <w:rPr>
          <w:rFonts w:ascii="宋体" w:hAnsi="宋体"/>
          <w:sz w:val="24"/>
          <w:szCs w:val="24"/>
        </w:rPr>
        <w:t>法人企业</w:t>
      </w:r>
      <w:r>
        <w:rPr>
          <w:rFonts w:hint="eastAsia" w:ascii="宋体" w:hAnsi="宋体"/>
          <w:sz w:val="24"/>
          <w:szCs w:val="24"/>
        </w:rPr>
        <w:t>或其它组织</w:t>
      </w:r>
      <w:r>
        <w:rPr>
          <w:rFonts w:hint="eastAsia" w:ascii="宋体" w:hAnsi="宋体" w:cs="宋体"/>
          <w:sz w:val="24"/>
        </w:rPr>
        <w:t>。</w:t>
      </w:r>
    </w:p>
    <w:p>
      <w:pPr>
        <w:pStyle w:val="6"/>
        <w:kinsoku/>
        <w:overflowPunct/>
        <w:topLinePunct w:val="0"/>
        <w:bidi w:val="0"/>
        <w:spacing w:before="0" w:after="0" w:line="560" w:lineRule="exact"/>
        <w:rPr>
          <w:rFonts w:ascii="宋体" w:hAnsi="宋体" w:cs="宋体"/>
          <w:sz w:val="28"/>
          <w:szCs w:val="28"/>
        </w:rPr>
      </w:pPr>
      <w:bookmarkStart w:id="44" w:name="_Toc325096468"/>
      <w:bookmarkStart w:id="45" w:name="_Toc183582207"/>
      <w:bookmarkStart w:id="46" w:name="_Toc183682344"/>
      <w:bookmarkStart w:id="47" w:name="_Toc317509386"/>
      <w:bookmarkStart w:id="48" w:name="_Toc325464817"/>
      <w:bookmarkStart w:id="49" w:name="_Toc317509233"/>
      <w:bookmarkStart w:id="50" w:name="_Toc217446036"/>
      <w:bookmarkStart w:id="51" w:name="_Toc217390843"/>
      <w:r>
        <w:rPr>
          <w:rFonts w:hint="eastAsia" w:ascii="宋体" w:hAnsi="宋体" w:cs="宋体"/>
          <w:sz w:val="28"/>
          <w:szCs w:val="28"/>
        </w:rPr>
        <w:t>3．合格的</w:t>
      </w:r>
      <w:bookmarkEnd w:id="44"/>
      <w:bookmarkEnd w:id="45"/>
      <w:bookmarkEnd w:id="46"/>
      <w:bookmarkEnd w:id="47"/>
      <w:bookmarkEnd w:id="48"/>
      <w:bookmarkEnd w:id="49"/>
      <w:bookmarkEnd w:id="50"/>
      <w:bookmarkEnd w:id="51"/>
      <w:r>
        <w:rPr>
          <w:rFonts w:hint="eastAsia" w:ascii="宋体" w:hAnsi="宋体" w:cs="宋体"/>
          <w:sz w:val="28"/>
          <w:szCs w:val="28"/>
        </w:rPr>
        <w:t>响应人</w:t>
      </w:r>
      <w:bookmarkStart w:id="52" w:name="_Toc325096469"/>
      <w:bookmarkStart w:id="53" w:name="_Toc325464818"/>
      <w:bookmarkStart w:id="54" w:name="_Toc317509234"/>
      <w:bookmarkStart w:id="55" w:name="_Toc317509387"/>
      <w:bookmarkStart w:id="56" w:name="_Toc217446037"/>
      <w:bookmarkStart w:id="57" w:name="_Toc183682345"/>
      <w:bookmarkStart w:id="58" w:name="_Toc183582208"/>
    </w:p>
    <w:p>
      <w:pPr>
        <w:pStyle w:val="6"/>
        <w:kinsoku/>
        <w:overflowPunct/>
        <w:topLinePunct w:val="0"/>
        <w:bidi w:val="0"/>
        <w:spacing w:before="0" w:after="0" w:line="560" w:lineRule="exact"/>
        <w:rPr>
          <w:rFonts w:ascii="宋体" w:hAnsi="宋体" w:cs="宋体"/>
          <w:b w:val="0"/>
          <w:sz w:val="24"/>
          <w:szCs w:val="24"/>
        </w:rPr>
      </w:pPr>
      <w:r>
        <w:rPr>
          <w:rFonts w:hint="eastAsia" w:ascii="宋体" w:hAnsi="宋体" w:cs="宋体"/>
          <w:b w:val="0"/>
          <w:sz w:val="24"/>
          <w:szCs w:val="24"/>
        </w:rPr>
        <w:t xml:space="preserve">   </w:t>
      </w:r>
      <w:r>
        <w:rPr>
          <w:rFonts w:hint="eastAsia" w:ascii="宋体" w:hAnsi="宋体"/>
          <w:b w:val="0"/>
          <w:spacing w:val="10"/>
          <w:sz w:val="24"/>
          <w:szCs w:val="24"/>
        </w:rPr>
        <w:t>3.1竞谈响应人应遵守有关的国家法律、法规和条例，具备本文件中规定的条件：</w:t>
      </w:r>
    </w:p>
    <w:p>
      <w:pPr>
        <w:kinsoku/>
        <w:overflowPunct/>
        <w:topLinePunct w:val="0"/>
        <w:bidi w:val="0"/>
        <w:snapToGrid w:val="0"/>
        <w:spacing w:line="560" w:lineRule="exact"/>
        <w:ind w:firstLine="260" w:firstLineChars="100"/>
        <w:rPr>
          <w:rFonts w:hint="eastAsia" w:ascii="宋体" w:hAnsi="宋体"/>
          <w:b/>
          <w:spacing w:val="10"/>
          <w:kern w:val="2"/>
          <w:sz w:val="24"/>
          <w:szCs w:val="24"/>
          <w:lang w:val="en-US" w:eastAsia="zh-CN" w:bidi="ar-SA"/>
        </w:rPr>
      </w:pPr>
      <w:r>
        <w:rPr>
          <w:rFonts w:hint="eastAsia" w:ascii="宋体" w:hAnsi="宋体"/>
          <w:spacing w:val="10"/>
          <w:sz w:val="24"/>
          <w:szCs w:val="24"/>
        </w:rPr>
        <w:t>（1）具有独立承担民事责任的能力</w:t>
      </w:r>
      <w:r>
        <w:rPr>
          <w:rFonts w:hint="eastAsia" w:ascii="宋体" w:hAnsi="宋体"/>
          <w:spacing w:val="10"/>
          <w:sz w:val="24"/>
          <w:szCs w:val="24"/>
          <w:lang w:eastAsia="zh-CN"/>
        </w:rPr>
        <w:t>，</w:t>
      </w:r>
      <w:r>
        <w:rPr>
          <w:rFonts w:hint="eastAsia" w:ascii="宋体" w:hAnsi="宋体"/>
          <w:b w:val="0"/>
          <w:bCs/>
          <w:spacing w:val="10"/>
          <w:kern w:val="2"/>
          <w:sz w:val="24"/>
          <w:szCs w:val="24"/>
          <w:lang w:val="en-US" w:eastAsia="zh-CN" w:bidi="ar-SA"/>
        </w:rPr>
        <w:t>具有有效的营业执照</w:t>
      </w:r>
    </w:p>
    <w:p>
      <w:pPr>
        <w:kinsoku/>
        <w:overflowPunct/>
        <w:topLinePunct w:val="0"/>
        <w:bidi w:val="0"/>
        <w:snapToGrid w:val="0"/>
        <w:spacing w:line="560" w:lineRule="exact"/>
        <w:ind w:firstLine="260" w:firstLineChars="100"/>
        <w:rPr>
          <w:rFonts w:ascii="宋体" w:hAnsi="宋体"/>
          <w:spacing w:val="10"/>
          <w:sz w:val="24"/>
          <w:szCs w:val="24"/>
        </w:rPr>
      </w:pPr>
      <w:r>
        <w:rPr>
          <w:rFonts w:hint="eastAsia" w:ascii="宋体" w:hAnsi="宋体"/>
          <w:spacing w:val="10"/>
          <w:sz w:val="24"/>
          <w:szCs w:val="24"/>
        </w:rPr>
        <w:t>（2）具有良好的商业信誉和健全的财务会计制度</w:t>
      </w:r>
    </w:p>
    <w:p>
      <w:pPr>
        <w:kinsoku/>
        <w:overflowPunct/>
        <w:topLinePunct w:val="0"/>
        <w:bidi w:val="0"/>
        <w:snapToGrid w:val="0"/>
        <w:spacing w:line="560" w:lineRule="exact"/>
        <w:ind w:firstLine="260" w:firstLineChars="100"/>
        <w:rPr>
          <w:rFonts w:ascii="宋体" w:hAnsi="宋体"/>
          <w:spacing w:val="10"/>
          <w:sz w:val="24"/>
          <w:szCs w:val="24"/>
        </w:rPr>
      </w:pPr>
      <w:r>
        <w:rPr>
          <w:rFonts w:hint="eastAsia" w:ascii="宋体" w:hAnsi="宋体"/>
          <w:spacing w:val="10"/>
          <w:sz w:val="24"/>
          <w:szCs w:val="24"/>
        </w:rPr>
        <w:t>（3）具有履行合同所必需的设备和专业技术能力</w:t>
      </w:r>
    </w:p>
    <w:p>
      <w:pPr>
        <w:kinsoku/>
        <w:overflowPunct/>
        <w:topLinePunct w:val="0"/>
        <w:bidi w:val="0"/>
        <w:snapToGrid w:val="0"/>
        <w:spacing w:line="560" w:lineRule="exact"/>
        <w:ind w:firstLine="260" w:firstLineChars="100"/>
        <w:rPr>
          <w:rFonts w:ascii="宋体" w:hAnsi="宋体"/>
          <w:spacing w:val="10"/>
          <w:sz w:val="24"/>
          <w:szCs w:val="24"/>
        </w:rPr>
      </w:pPr>
      <w:r>
        <w:rPr>
          <w:rFonts w:hint="eastAsia" w:ascii="宋体" w:hAnsi="宋体"/>
          <w:spacing w:val="10"/>
          <w:sz w:val="24"/>
          <w:szCs w:val="24"/>
        </w:rPr>
        <w:t>（4）具有依法缴纳税收和社会保障资金的良好记录</w:t>
      </w:r>
    </w:p>
    <w:p>
      <w:pPr>
        <w:kinsoku/>
        <w:overflowPunct/>
        <w:topLinePunct w:val="0"/>
        <w:bidi w:val="0"/>
        <w:snapToGrid w:val="0"/>
        <w:spacing w:line="560" w:lineRule="exact"/>
        <w:ind w:firstLine="260" w:firstLineChars="100"/>
        <w:rPr>
          <w:rFonts w:hint="eastAsia" w:ascii="宋体" w:hAnsi="宋体"/>
          <w:spacing w:val="10"/>
          <w:sz w:val="24"/>
          <w:szCs w:val="24"/>
        </w:rPr>
      </w:pPr>
      <w:r>
        <w:rPr>
          <w:rFonts w:hint="eastAsia" w:ascii="宋体" w:hAnsi="宋体"/>
          <w:spacing w:val="10"/>
          <w:sz w:val="24"/>
          <w:szCs w:val="24"/>
        </w:rPr>
        <w:t>（5）参加此项采购活动前三年内，在经营活动中没有重大违法记录</w:t>
      </w:r>
    </w:p>
    <w:p>
      <w:pPr>
        <w:kinsoku/>
        <w:overflowPunct/>
        <w:topLinePunct w:val="0"/>
        <w:bidi w:val="0"/>
        <w:snapToGrid w:val="0"/>
        <w:spacing w:line="560" w:lineRule="exact"/>
        <w:ind w:firstLine="260" w:firstLineChars="100"/>
        <w:rPr>
          <w:rFonts w:hint="eastAsia" w:ascii="宋体" w:hAnsi="宋体"/>
          <w:spacing w:val="10"/>
          <w:sz w:val="24"/>
          <w:szCs w:val="24"/>
        </w:rPr>
      </w:pPr>
      <w:r>
        <w:rPr>
          <w:rFonts w:hint="eastAsia" w:ascii="宋体" w:hAnsi="宋体"/>
          <w:spacing w:val="10"/>
          <w:sz w:val="24"/>
          <w:szCs w:val="24"/>
        </w:rPr>
        <w:t>（6）企业近3年（201</w:t>
      </w:r>
      <w:r>
        <w:rPr>
          <w:rFonts w:hint="eastAsia" w:ascii="宋体" w:hAnsi="宋体"/>
          <w:spacing w:val="10"/>
          <w:sz w:val="24"/>
          <w:szCs w:val="24"/>
          <w:lang w:val="en-US" w:eastAsia="zh-CN"/>
        </w:rPr>
        <w:t>9年1月1日</w:t>
      </w:r>
      <w:r>
        <w:rPr>
          <w:rFonts w:hint="eastAsia" w:ascii="宋体" w:hAnsi="宋体"/>
          <w:spacing w:val="10"/>
          <w:sz w:val="24"/>
          <w:szCs w:val="24"/>
        </w:rPr>
        <w:t xml:space="preserve"> 年至20</w:t>
      </w:r>
      <w:r>
        <w:rPr>
          <w:rFonts w:hint="eastAsia" w:ascii="宋体" w:hAnsi="宋体"/>
          <w:spacing w:val="10"/>
          <w:sz w:val="24"/>
          <w:szCs w:val="24"/>
          <w:lang w:val="en-US" w:eastAsia="zh-CN"/>
        </w:rPr>
        <w:t>21</w:t>
      </w:r>
      <w:r>
        <w:rPr>
          <w:rFonts w:hint="eastAsia" w:ascii="宋体" w:hAnsi="宋体"/>
          <w:spacing w:val="10"/>
          <w:sz w:val="24"/>
          <w:szCs w:val="24"/>
        </w:rPr>
        <w:t>年</w:t>
      </w:r>
      <w:r>
        <w:rPr>
          <w:rFonts w:hint="eastAsia" w:ascii="宋体" w:hAnsi="宋体"/>
          <w:spacing w:val="10"/>
          <w:sz w:val="24"/>
          <w:szCs w:val="24"/>
          <w:lang w:val="en-US" w:eastAsia="zh-CN"/>
        </w:rPr>
        <w:t>12月31日</w:t>
      </w:r>
      <w:r>
        <w:rPr>
          <w:rFonts w:hint="eastAsia" w:ascii="宋体" w:hAnsi="宋体"/>
          <w:spacing w:val="10"/>
          <w:sz w:val="24"/>
          <w:szCs w:val="24"/>
        </w:rPr>
        <w:t>）财务状况均无亏损（新成立企业不满足比选人年度要求的，投标文件只提供成立后的资料）。</w:t>
      </w:r>
    </w:p>
    <w:p>
      <w:pPr>
        <w:kinsoku/>
        <w:overflowPunct/>
        <w:topLinePunct w:val="0"/>
        <w:bidi w:val="0"/>
        <w:snapToGrid w:val="0"/>
        <w:spacing w:line="560" w:lineRule="exact"/>
        <w:ind w:firstLine="260" w:firstLineChars="100"/>
        <w:rPr>
          <w:rFonts w:hint="eastAsia" w:ascii="宋体" w:hAnsi="宋体"/>
          <w:spacing w:val="10"/>
          <w:sz w:val="24"/>
          <w:szCs w:val="24"/>
        </w:rPr>
      </w:pPr>
      <w:r>
        <w:rPr>
          <w:rFonts w:hint="eastAsia" w:ascii="宋体" w:hAnsi="宋体"/>
          <w:spacing w:val="10"/>
          <w:sz w:val="24"/>
          <w:szCs w:val="24"/>
        </w:rPr>
        <w:t>（</w:t>
      </w:r>
      <w:r>
        <w:rPr>
          <w:rFonts w:hint="eastAsia" w:ascii="宋体" w:hAnsi="宋体"/>
          <w:spacing w:val="10"/>
          <w:sz w:val="24"/>
          <w:szCs w:val="24"/>
          <w:lang w:val="en-US" w:eastAsia="zh-CN"/>
        </w:rPr>
        <w:t>7</w:t>
      </w:r>
      <w:r>
        <w:rPr>
          <w:rFonts w:hint="eastAsia" w:ascii="宋体" w:hAnsi="宋体"/>
          <w:spacing w:val="10"/>
          <w:sz w:val="24"/>
          <w:szCs w:val="24"/>
        </w:rPr>
        <w:t>）须为产品制造商或有产品制造商授权的经销商（本项目产品制造商只能授权一个经销商），营业执照范围内包含销售或生产家具</w:t>
      </w:r>
      <w:r>
        <w:rPr>
          <w:rFonts w:hint="eastAsia" w:ascii="宋体" w:hAnsi="宋体"/>
          <w:spacing w:val="10"/>
          <w:sz w:val="24"/>
          <w:szCs w:val="24"/>
          <w:lang w:eastAsia="zh-CN"/>
        </w:rPr>
        <w:t>。</w:t>
      </w:r>
    </w:p>
    <w:p>
      <w:pPr>
        <w:kinsoku/>
        <w:overflowPunct/>
        <w:topLinePunct w:val="0"/>
        <w:bidi w:val="0"/>
        <w:snapToGrid w:val="0"/>
        <w:spacing w:line="560" w:lineRule="exact"/>
        <w:ind w:firstLine="390" w:firstLineChars="150"/>
        <w:rPr>
          <w:rFonts w:hint="default" w:ascii="宋体" w:hAnsi="宋体" w:eastAsia="宋体"/>
          <w:spacing w:val="10"/>
          <w:sz w:val="24"/>
          <w:szCs w:val="24"/>
          <w:lang w:val="en-US" w:eastAsia="zh-CN"/>
        </w:rPr>
      </w:pPr>
      <w:r>
        <w:rPr>
          <w:rFonts w:hint="eastAsia" w:ascii="宋体" w:hAnsi="宋体"/>
          <w:spacing w:val="10"/>
          <w:sz w:val="24"/>
          <w:szCs w:val="24"/>
          <w:lang w:val="en-US" w:eastAsia="zh-CN"/>
        </w:rPr>
        <w:t>3.2所提供家具制造商具有ISO9001，ISO14001，ISO18001，十环认证，greenguard绿色卫士认证，BIFMA检测报告,LEED认证(响应人为经销商的可提供所代理生产厂家的以上资料)。</w:t>
      </w:r>
    </w:p>
    <w:p>
      <w:pPr>
        <w:kinsoku/>
        <w:overflowPunct/>
        <w:topLinePunct w:val="0"/>
        <w:bidi w:val="0"/>
        <w:snapToGrid w:val="0"/>
        <w:spacing w:line="560" w:lineRule="exact"/>
        <w:ind w:firstLine="390" w:firstLineChars="150"/>
        <w:rPr>
          <w:rFonts w:ascii="宋体" w:hAnsi="宋体"/>
          <w:b/>
          <w:spacing w:val="10"/>
          <w:sz w:val="24"/>
          <w:szCs w:val="24"/>
        </w:rPr>
      </w:pPr>
      <w:r>
        <w:rPr>
          <w:rFonts w:hint="eastAsia" w:ascii="宋体" w:hAnsi="宋体"/>
          <w:spacing w:val="10"/>
          <w:sz w:val="24"/>
          <w:szCs w:val="24"/>
        </w:rPr>
        <w:t>3.</w:t>
      </w:r>
      <w:r>
        <w:rPr>
          <w:rFonts w:hint="eastAsia" w:ascii="宋体" w:hAnsi="宋体"/>
          <w:spacing w:val="10"/>
          <w:sz w:val="24"/>
          <w:szCs w:val="24"/>
          <w:lang w:val="en-US" w:eastAsia="zh-CN"/>
        </w:rPr>
        <w:t>3</w:t>
      </w:r>
      <w:r>
        <w:rPr>
          <w:rFonts w:hint="eastAsia" w:ascii="宋体" w:hAnsi="宋体"/>
          <w:spacing w:val="10"/>
          <w:sz w:val="24"/>
          <w:szCs w:val="24"/>
        </w:rPr>
        <w:t>竞谈响应人必须是已在中国境内依法登记注册的响应人，并且其所持有的由工商行政管理部门所核发的有效的营业执照上载明的营业期限剩余时间应当不少于本次采购的相关合同基本义务履行所需期限，或已经提供相关证明材料能够证明具有履约能力。否则，采购人及谈判小组有权拒绝其本次报价。</w:t>
      </w:r>
    </w:p>
    <w:p>
      <w:pPr>
        <w:pStyle w:val="22"/>
        <w:kinsoku/>
        <w:overflowPunct/>
        <w:topLinePunct w:val="0"/>
        <w:bidi w:val="0"/>
        <w:snapToGrid w:val="0"/>
        <w:spacing w:line="560" w:lineRule="exact"/>
        <w:ind w:firstLine="520" w:firstLineChars="200"/>
        <w:textAlignment w:val="auto"/>
        <w:rPr>
          <w:spacing w:val="10"/>
          <w:sz w:val="24"/>
          <w:szCs w:val="24"/>
        </w:rPr>
      </w:pPr>
      <w:r>
        <w:rPr>
          <w:rFonts w:hint="eastAsia"/>
          <w:spacing w:val="10"/>
          <w:sz w:val="24"/>
          <w:szCs w:val="24"/>
        </w:rPr>
        <w:t>3.</w:t>
      </w:r>
      <w:r>
        <w:rPr>
          <w:rFonts w:hint="eastAsia"/>
          <w:spacing w:val="10"/>
          <w:sz w:val="24"/>
          <w:szCs w:val="24"/>
          <w:lang w:val="en-US" w:eastAsia="zh-CN"/>
        </w:rPr>
        <w:t>4</w:t>
      </w:r>
      <w:r>
        <w:rPr>
          <w:rFonts w:hint="eastAsia"/>
          <w:spacing w:val="10"/>
          <w:sz w:val="24"/>
          <w:szCs w:val="24"/>
        </w:rPr>
        <w:t>依法注册的响应人其注册资金应足以保证本项目实施过程中的风险承担和赔付能力。</w:t>
      </w:r>
    </w:p>
    <w:p>
      <w:pPr>
        <w:tabs>
          <w:tab w:val="left" w:pos="7665"/>
        </w:tabs>
        <w:kinsoku/>
        <w:overflowPunct/>
        <w:topLinePunct w:val="0"/>
        <w:bidi w:val="0"/>
        <w:spacing w:line="560" w:lineRule="exact"/>
        <w:rPr>
          <w:rFonts w:hint="eastAsia" w:ascii="宋体" w:hAnsi="宋体" w:cs="宋体"/>
          <w:b/>
          <w:sz w:val="28"/>
          <w:szCs w:val="28"/>
        </w:rPr>
      </w:pPr>
      <w:r>
        <w:rPr>
          <w:rFonts w:hint="eastAsia" w:ascii="宋体" w:hAnsi="宋体" w:cs="宋体"/>
          <w:b/>
          <w:sz w:val="28"/>
          <w:szCs w:val="28"/>
        </w:rPr>
        <w:t>4．谈判费用</w:t>
      </w:r>
      <w:bookmarkEnd w:id="52"/>
      <w:bookmarkEnd w:id="53"/>
      <w:bookmarkEnd w:id="54"/>
      <w:bookmarkEnd w:id="55"/>
      <w:bookmarkEnd w:id="56"/>
      <w:bookmarkEnd w:id="57"/>
      <w:bookmarkEnd w:id="58"/>
    </w:p>
    <w:p>
      <w:pPr>
        <w:tabs>
          <w:tab w:val="left" w:pos="7665"/>
        </w:tabs>
        <w:kinsoku/>
        <w:overflowPunct/>
        <w:topLinePunct w:val="0"/>
        <w:bidi w:val="0"/>
        <w:spacing w:line="560" w:lineRule="exact"/>
        <w:ind w:firstLine="480" w:firstLineChars="200"/>
        <w:rPr>
          <w:rFonts w:ascii="宋体" w:hAnsi="宋体" w:cs="宋体"/>
          <w:b/>
          <w:sz w:val="28"/>
          <w:szCs w:val="28"/>
        </w:rPr>
      </w:pPr>
      <w:r>
        <w:rPr>
          <w:rFonts w:hint="eastAsia" w:ascii="宋体" w:hAnsi="宋体" w:cs="宋体"/>
          <w:sz w:val="24"/>
        </w:rPr>
        <w:t>4.1谈判响应人参加谈判的有关一切费用由响应人自行承担。</w:t>
      </w:r>
    </w:p>
    <w:p>
      <w:pPr>
        <w:pStyle w:val="5"/>
        <w:kinsoku/>
        <w:overflowPunct/>
        <w:topLinePunct w:val="0"/>
        <w:bidi w:val="0"/>
        <w:spacing w:line="560" w:lineRule="exact"/>
        <w:jc w:val="center"/>
        <w:rPr>
          <w:rFonts w:ascii="宋体" w:hAnsi="宋体" w:eastAsia="宋体" w:cs="宋体"/>
          <w:sz w:val="32"/>
          <w:szCs w:val="32"/>
        </w:rPr>
      </w:pPr>
      <w:bookmarkStart w:id="59" w:name="_Toc89075875"/>
      <w:bookmarkStart w:id="60" w:name="_Toc77400779"/>
      <w:bookmarkStart w:id="61" w:name="_Toc325464819"/>
      <w:bookmarkStart w:id="62" w:name="_Toc183682346"/>
      <w:bookmarkStart w:id="63" w:name="_Toc217446038"/>
      <w:bookmarkStart w:id="64" w:name="_Toc183582209"/>
      <w:r>
        <w:rPr>
          <w:rFonts w:hint="eastAsia" w:ascii="宋体" w:hAnsi="宋体" w:eastAsia="宋体" w:cs="宋体"/>
          <w:sz w:val="32"/>
          <w:szCs w:val="32"/>
        </w:rPr>
        <w:t>二、竞争性谈判文件</w:t>
      </w:r>
      <w:bookmarkEnd w:id="59"/>
      <w:bookmarkEnd w:id="60"/>
      <w:bookmarkEnd w:id="61"/>
      <w:bookmarkEnd w:id="62"/>
      <w:bookmarkEnd w:id="63"/>
      <w:bookmarkEnd w:id="64"/>
    </w:p>
    <w:p>
      <w:pPr>
        <w:pStyle w:val="6"/>
        <w:kinsoku/>
        <w:overflowPunct/>
        <w:topLinePunct w:val="0"/>
        <w:bidi w:val="0"/>
        <w:spacing w:line="560" w:lineRule="exact"/>
        <w:rPr>
          <w:rFonts w:hint="eastAsia" w:ascii="宋体" w:hAnsi="宋体" w:cs="宋体"/>
          <w:sz w:val="28"/>
          <w:szCs w:val="28"/>
        </w:rPr>
      </w:pPr>
      <w:bookmarkStart w:id="65" w:name="_Toc183682347"/>
      <w:bookmarkStart w:id="66" w:name="_Toc325096471"/>
      <w:bookmarkStart w:id="67" w:name="_Toc317509389"/>
      <w:bookmarkStart w:id="68" w:name="_Toc217446039"/>
      <w:bookmarkStart w:id="69" w:name="_Toc325464820"/>
      <w:bookmarkStart w:id="70" w:name="_Toc183582210"/>
      <w:bookmarkStart w:id="71" w:name="_Toc317509236"/>
      <w:r>
        <w:rPr>
          <w:rFonts w:hint="eastAsia" w:ascii="宋体" w:hAnsi="宋体" w:cs="宋体"/>
          <w:sz w:val="28"/>
          <w:szCs w:val="28"/>
        </w:rPr>
        <w:t>5．竞争性谈判文件的构成</w:t>
      </w:r>
      <w:bookmarkEnd w:id="65"/>
      <w:bookmarkEnd w:id="66"/>
      <w:bookmarkEnd w:id="67"/>
      <w:bookmarkEnd w:id="68"/>
      <w:bookmarkEnd w:id="69"/>
      <w:bookmarkEnd w:id="70"/>
      <w:bookmarkEnd w:id="71"/>
    </w:p>
    <w:p>
      <w:pPr>
        <w:kinsoku/>
        <w:overflowPunct/>
        <w:topLinePunct w:val="0"/>
        <w:bidi w:val="0"/>
        <w:snapToGrid w:val="0"/>
        <w:spacing w:line="560" w:lineRule="exact"/>
        <w:ind w:firstLine="480" w:firstLineChars="200"/>
        <w:rPr>
          <w:rFonts w:hint="eastAsia" w:ascii="宋体" w:hAnsi="宋体"/>
          <w:spacing w:val="10"/>
          <w:sz w:val="24"/>
          <w:szCs w:val="24"/>
        </w:rPr>
      </w:pPr>
      <w:r>
        <w:rPr>
          <w:rFonts w:hint="eastAsia" w:ascii="宋体" w:hAnsi="宋体" w:cs="宋体"/>
          <w:sz w:val="24"/>
        </w:rPr>
        <w:t>5.1 竞争性谈判文件用以阐明竞争性谈判项目所需的资质、技术、服务、设备及报价等要求、竞争性谈判程序、有关规定和注意事项以及合同主要条款等。本竞争性谈判文件包括</w:t>
      </w:r>
      <w:r>
        <w:rPr>
          <w:rFonts w:hint="eastAsia" w:ascii="宋体" w:hAnsi="宋体"/>
          <w:spacing w:val="10"/>
          <w:sz w:val="24"/>
          <w:szCs w:val="24"/>
        </w:rPr>
        <w:t>以下内容：</w:t>
      </w:r>
    </w:p>
    <w:p>
      <w:pPr>
        <w:kinsoku/>
        <w:overflowPunct/>
        <w:topLinePunct w:val="0"/>
        <w:bidi w:val="0"/>
        <w:snapToGrid w:val="0"/>
        <w:spacing w:line="560" w:lineRule="exact"/>
        <w:ind w:firstLine="260" w:firstLineChars="100"/>
        <w:rPr>
          <w:rFonts w:hint="eastAsia" w:ascii="宋体" w:hAnsi="宋体"/>
          <w:spacing w:val="10"/>
          <w:sz w:val="24"/>
          <w:szCs w:val="24"/>
        </w:rPr>
      </w:pPr>
      <w:r>
        <w:rPr>
          <w:rFonts w:hint="eastAsia" w:ascii="宋体" w:hAnsi="宋体"/>
          <w:spacing w:val="10"/>
          <w:sz w:val="24"/>
          <w:szCs w:val="24"/>
        </w:rPr>
        <w:t>（1）竞争性谈判公告</w:t>
      </w:r>
    </w:p>
    <w:p>
      <w:pPr>
        <w:kinsoku/>
        <w:overflowPunct/>
        <w:topLinePunct w:val="0"/>
        <w:bidi w:val="0"/>
        <w:snapToGrid w:val="0"/>
        <w:spacing w:line="560" w:lineRule="exact"/>
        <w:ind w:firstLine="260" w:firstLineChars="100"/>
        <w:rPr>
          <w:rFonts w:hint="eastAsia" w:ascii="宋体" w:hAnsi="宋体"/>
          <w:spacing w:val="10"/>
          <w:sz w:val="24"/>
          <w:szCs w:val="24"/>
        </w:rPr>
      </w:pPr>
      <w:r>
        <w:rPr>
          <w:rFonts w:hint="eastAsia" w:ascii="宋体" w:hAnsi="宋体"/>
          <w:spacing w:val="10"/>
          <w:sz w:val="24"/>
          <w:szCs w:val="24"/>
        </w:rPr>
        <w:t>（2）谈判须知及前附表</w:t>
      </w:r>
    </w:p>
    <w:p>
      <w:pPr>
        <w:kinsoku/>
        <w:overflowPunct/>
        <w:topLinePunct w:val="0"/>
        <w:bidi w:val="0"/>
        <w:snapToGrid w:val="0"/>
        <w:spacing w:line="560" w:lineRule="exact"/>
        <w:ind w:firstLine="260" w:firstLineChars="100"/>
        <w:rPr>
          <w:rFonts w:hint="eastAsia" w:ascii="宋体" w:hAnsi="宋体"/>
          <w:spacing w:val="10"/>
          <w:sz w:val="24"/>
          <w:szCs w:val="24"/>
        </w:rPr>
      </w:pPr>
      <w:r>
        <w:rPr>
          <w:rFonts w:hint="eastAsia" w:ascii="宋体" w:hAnsi="宋体"/>
          <w:spacing w:val="10"/>
          <w:sz w:val="24"/>
          <w:szCs w:val="24"/>
        </w:rPr>
        <w:t>（3）评审办法</w:t>
      </w:r>
    </w:p>
    <w:p>
      <w:pPr>
        <w:kinsoku/>
        <w:overflowPunct/>
        <w:topLinePunct w:val="0"/>
        <w:bidi w:val="0"/>
        <w:snapToGrid w:val="0"/>
        <w:spacing w:line="560" w:lineRule="exact"/>
        <w:ind w:firstLine="260" w:firstLineChars="100"/>
        <w:rPr>
          <w:rFonts w:hint="eastAsia" w:ascii="宋体" w:hAnsi="宋体"/>
          <w:spacing w:val="10"/>
          <w:sz w:val="24"/>
          <w:szCs w:val="24"/>
        </w:rPr>
      </w:pPr>
      <w:r>
        <w:rPr>
          <w:rFonts w:hint="eastAsia" w:ascii="宋体" w:hAnsi="宋体"/>
          <w:spacing w:val="10"/>
          <w:sz w:val="24"/>
          <w:szCs w:val="24"/>
        </w:rPr>
        <w:t>（4）合同条款及格式</w:t>
      </w:r>
    </w:p>
    <w:p>
      <w:pPr>
        <w:kinsoku/>
        <w:overflowPunct/>
        <w:topLinePunct w:val="0"/>
        <w:bidi w:val="0"/>
        <w:snapToGrid w:val="0"/>
        <w:spacing w:line="560" w:lineRule="exact"/>
        <w:ind w:firstLine="260" w:firstLineChars="100"/>
        <w:rPr>
          <w:rFonts w:hint="eastAsia" w:ascii="宋体" w:hAnsi="宋体" w:eastAsia="宋体"/>
          <w:spacing w:val="10"/>
          <w:sz w:val="24"/>
          <w:szCs w:val="24"/>
          <w:lang w:eastAsia="zh-CN"/>
        </w:rPr>
      </w:pPr>
      <w:r>
        <w:rPr>
          <w:rFonts w:hint="eastAsia" w:ascii="宋体" w:hAnsi="宋体"/>
          <w:spacing w:val="10"/>
          <w:sz w:val="24"/>
          <w:szCs w:val="24"/>
        </w:rPr>
        <w:t>（5）采购</w:t>
      </w:r>
      <w:r>
        <w:rPr>
          <w:rFonts w:hint="eastAsia" w:ascii="宋体" w:hAnsi="宋体"/>
          <w:spacing w:val="10"/>
          <w:sz w:val="24"/>
          <w:szCs w:val="24"/>
          <w:lang w:eastAsia="zh-CN"/>
        </w:rPr>
        <w:t>清单</w:t>
      </w:r>
    </w:p>
    <w:p>
      <w:pPr>
        <w:kinsoku/>
        <w:overflowPunct/>
        <w:topLinePunct w:val="0"/>
        <w:bidi w:val="0"/>
        <w:snapToGrid w:val="0"/>
        <w:spacing w:line="560" w:lineRule="exact"/>
        <w:ind w:firstLine="260" w:firstLineChars="100"/>
        <w:rPr>
          <w:rFonts w:ascii="宋体" w:hAnsi="宋体"/>
          <w:spacing w:val="10"/>
          <w:sz w:val="24"/>
          <w:szCs w:val="24"/>
        </w:rPr>
      </w:pPr>
      <w:r>
        <w:rPr>
          <w:rFonts w:hint="eastAsia" w:ascii="宋体" w:hAnsi="宋体"/>
          <w:spacing w:val="10"/>
          <w:sz w:val="24"/>
          <w:szCs w:val="24"/>
        </w:rPr>
        <w:t>（6）响应文件格式</w:t>
      </w:r>
    </w:p>
    <w:p>
      <w:pPr>
        <w:tabs>
          <w:tab w:val="left" w:pos="766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b/>
          <w:sz w:val="24"/>
        </w:rPr>
        <w:t>.</w:t>
      </w:r>
      <w:r>
        <w:rPr>
          <w:rFonts w:hint="eastAsia" w:ascii="宋体" w:hAnsi="宋体" w:cs="宋体"/>
          <w:sz w:val="24"/>
        </w:rPr>
        <w:t>2 响应人应认真阅读和充分理解竞争性谈判文件中所有的事项、格式条款和规范要求。响应人没有对竞争性谈判文件全面做出实质性响应是响应人的风险。没有按照竞争性谈判文件要求作出实质性响应的响应文件将被拒绝。</w:t>
      </w:r>
    </w:p>
    <w:p>
      <w:pPr>
        <w:pStyle w:val="6"/>
        <w:kinsoku/>
        <w:overflowPunct/>
        <w:topLinePunct w:val="0"/>
        <w:bidi w:val="0"/>
        <w:spacing w:line="560" w:lineRule="exact"/>
        <w:rPr>
          <w:rFonts w:ascii="宋体" w:hAnsi="宋体" w:cs="宋体"/>
          <w:sz w:val="28"/>
          <w:szCs w:val="28"/>
        </w:rPr>
      </w:pPr>
      <w:bookmarkStart w:id="72" w:name="_Toc183582211"/>
      <w:bookmarkStart w:id="73" w:name="_Toc183682348"/>
      <w:bookmarkStart w:id="74" w:name="_Toc317509237"/>
      <w:bookmarkStart w:id="75" w:name="_Toc217446040"/>
      <w:bookmarkStart w:id="76" w:name="_Toc325464821"/>
      <w:bookmarkStart w:id="77" w:name="_Toc317509390"/>
      <w:bookmarkStart w:id="78" w:name="_Toc325096472"/>
      <w:r>
        <w:rPr>
          <w:rFonts w:hint="eastAsia" w:ascii="宋体" w:hAnsi="宋体" w:cs="宋体"/>
          <w:sz w:val="28"/>
          <w:szCs w:val="28"/>
        </w:rPr>
        <w:t>6. 竞争性谈判文件的澄清</w:t>
      </w:r>
      <w:bookmarkEnd w:id="72"/>
      <w:bookmarkEnd w:id="73"/>
      <w:r>
        <w:rPr>
          <w:rFonts w:hint="eastAsia" w:ascii="宋体" w:hAnsi="宋体" w:cs="宋体"/>
          <w:sz w:val="28"/>
          <w:szCs w:val="28"/>
        </w:rPr>
        <w:t>和修改</w:t>
      </w:r>
      <w:bookmarkEnd w:id="74"/>
      <w:bookmarkEnd w:id="75"/>
      <w:bookmarkEnd w:id="76"/>
      <w:bookmarkEnd w:id="77"/>
      <w:bookmarkEnd w:id="78"/>
    </w:p>
    <w:p>
      <w:pPr>
        <w:tabs>
          <w:tab w:val="left" w:pos="720"/>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6.1 在谈判截止时间前，采购人无论出于何种原因，可以对竞争性谈判文件进行澄清或者修改。</w:t>
      </w:r>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6.2在谈判期间，谈判小组根据实际谈判情况，可以对竞争性谈判文件进行澄清或者修改。</w:t>
      </w:r>
    </w:p>
    <w:p>
      <w:pPr>
        <w:pStyle w:val="6"/>
        <w:kinsoku/>
        <w:overflowPunct/>
        <w:topLinePunct w:val="0"/>
        <w:bidi w:val="0"/>
        <w:spacing w:line="560" w:lineRule="exact"/>
        <w:rPr>
          <w:rFonts w:ascii="宋体" w:hAnsi="宋体" w:cs="宋体"/>
          <w:sz w:val="28"/>
          <w:szCs w:val="28"/>
        </w:rPr>
      </w:pPr>
      <w:bookmarkStart w:id="79" w:name="_Toc183582213"/>
      <w:bookmarkStart w:id="80" w:name="_Toc183682350"/>
      <w:bookmarkStart w:id="81" w:name="_Toc208848971"/>
      <w:bookmarkStart w:id="82" w:name="_Toc325096473"/>
      <w:bookmarkStart w:id="83" w:name="_Toc325464822"/>
      <w:bookmarkStart w:id="84" w:name="_Toc317509391"/>
      <w:bookmarkStart w:id="85" w:name="_Toc317509238"/>
      <w:bookmarkStart w:id="86" w:name="_Toc217446041"/>
      <w:bookmarkStart w:id="87" w:name="_Toc217446042"/>
      <w:bookmarkStart w:id="88" w:name="_Toc183682351"/>
      <w:bookmarkStart w:id="89" w:name="_Toc183582214"/>
      <w:bookmarkStart w:id="90" w:name="_Toc89075876"/>
      <w:bookmarkStart w:id="91" w:name="_Toc77400780"/>
      <w:r>
        <w:rPr>
          <w:rFonts w:hint="eastAsia" w:ascii="宋体" w:hAnsi="宋体" w:cs="宋体"/>
          <w:sz w:val="28"/>
          <w:szCs w:val="28"/>
        </w:rPr>
        <w:t>7</w:t>
      </w:r>
      <w:bookmarkEnd w:id="79"/>
      <w:bookmarkEnd w:id="80"/>
      <w:r>
        <w:rPr>
          <w:rFonts w:hint="eastAsia" w:ascii="宋体" w:hAnsi="宋体" w:cs="宋体"/>
          <w:sz w:val="28"/>
          <w:szCs w:val="28"/>
        </w:rPr>
        <w:t>. 答疑会</w:t>
      </w:r>
      <w:bookmarkEnd w:id="81"/>
      <w:bookmarkEnd w:id="82"/>
      <w:bookmarkEnd w:id="83"/>
      <w:bookmarkEnd w:id="84"/>
      <w:bookmarkEnd w:id="85"/>
      <w:bookmarkEnd w:id="86"/>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7.1 根据采购项目和具体情况，若有必要召开，将以书面形式通知所有购买了竞争性谈判文件的响应人。</w:t>
      </w:r>
    </w:p>
    <w:p>
      <w:pPr>
        <w:pStyle w:val="5"/>
        <w:kinsoku/>
        <w:overflowPunct/>
        <w:topLinePunct w:val="0"/>
        <w:bidi w:val="0"/>
        <w:spacing w:line="560" w:lineRule="exact"/>
        <w:jc w:val="center"/>
        <w:rPr>
          <w:rFonts w:ascii="宋体" w:hAnsi="宋体" w:eastAsia="宋体" w:cs="宋体"/>
          <w:sz w:val="32"/>
          <w:szCs w:val="32"/>
        </w:rPr>
      </w:pPr>
      <w:bookmarkStart w:id="92" w:name="_Toc325464823"/>
      <w:r>
        <w:rPr>
          <w:rFonts w:hint="eastAsia" w:ascii="宋体" w:hAnsi="宋体" w:eastAsia="宋体" w:cs="宋体"/>
          <w:sz w:val="32"/>
          <w:szCs w:val="32"/>
        </w:rPr>
        <w:t>三、响应文件</w:t>
      </w:r>
      <w:bookmarkEnd w:id="87"/>
      <w:bookmarkEnd w:id="88"/>
      <w:bookmarkEnd w:id="89"/>
      <w:bookmarkEnd w:id="90"/>
      <w:bookmarkEnd w:id="91"/>
      <w:bookmarkEnd w:id="92"/>
    </w:p>
    <w:p>
      <w:pPr>
        <w:pStyle w:val="6"/>
        <w:kinsoku/>
        <w:overflowPunct/>
        <w:topLinePunct w:val="0"/>
        <w:bidi w:val="0"/>
        <w:spacing w:line="560" w:lineRule="exact"/>
        <w:rPr>
          <w:rFonts w:ascii="宋体" w:hAnsi="宋体" w:cs="宋体"/>
          <w:sz w:val="28"/>
          <w:szCs w:val="28"/>
        </w:rPr>
      </w:pPr>
      <w:bookmarkStart w:id="93" w:name="_Toc183582215"/>
      <w:bookmarkStart w:id="94" w:name="_Toc325464824"/>
      <w:bookmarkStart w:id="95" w:name="_Toc217446043"/>
      <w:bookmarkStart w:id="96" w:name="_Toc325096475"/>
      <w:bookmarkStart w:id="97" w:name="_Toc317509393"/>
      <w:bookmarkStart w:id="98" w:name="_Toc317509240"/>
      <w:bookmarkStart w:id="99" w:name="_Toc183682352"/>
      <w:r>
        <w:rPr>
          <w:rFonts w:hint="eastAsia" w:ascii="宋体" w:hAnsi="宋体" w:cs="宋体"/>
          <w:sz w:val="28"/>
          <w:szCs w:val="28"/>
        </w:rPr>
        <w:t>8．响应文件的语言</w:t>
      </w:r>
      <w:bookmarkEnd w:id="93"/>
      <w:bookmarkEnd w:id="94"/>
      <w:bookmarkEnd w:id="95"/>
      <w:bookmarkEnd w:id="96"/>
      <w:bookmarkEnd w:id="97"/>
      <w:bookmarkEnd w:id="98"/>
      <w:bookmarkEnd w:id="99"/>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8.1 响应人提交的响应文件以及响应人与采购人就有关谈判的所有来往书面文件均须使用中文。响应文件中如附有外文资料，必须逐一对应翻译成中文并加盖响应人公章后附在相关外文资料后面。</w:t>
      </w:r>
    </w:p>
    <w:p>
      <w:pPr>
        <w:pStyle w:val="6"/>
        <w:kinsoku/>
        <w:overflowPunct/>
        <w:topLinePunct w:val="0"/>
        <w:bidi w:val="0"/>
        <w:spacing w:line="560" w:lineRule="exact"/>
        <w:rPr>
          <w:rFonts w:ascii="宋体" w:hAnsi="宋体" w:cs="宋体"/>
          <w:sz w:val="28"/>
          <w:szCs w:val="28"/>
        </w:rPr>
      </w:pPr>
      <w:bookmarkStart w:id="100" w:name="_Toc183682353"/>
      <w:bookmarkStart w:id="101" w:name="_Toc317509394"/>
      <w:bookmarkStart w:id="102" w:name="_Toc217446044"/>
      <w:bookmarkStart w:id="103" w:name="_Toc325464825"/>
      <w:bookmarkStart w:id="104" w:name="_Toc317509241"/>
      <w:bookmarkStart w:id="105" w:name="_Toc325096476"/>
      <w:bookmarkStart w:id="106" w:name="_Toc183582216"/>
      <w:r>
        <w:rPr>
          <w:rFonts w:hint="eastAsia" w:ascii="宋体" w:hAnsi="宋体" w:cs="宋体"/>
          <w:sz w:val="28"/>
          <w:szCs w:val="28"/>
        </w:rPr>
        <w:t>9．计量单位</w:t>
      </w:r>
      <w:bookmarkEnd w:id="100"/>
      <w:bookmarkEnd w:id="101"/>
      <w:bookmarkEnd w:id="102"/>
      <w:bookmarkEnd w:id="103"/>
      <w:bookmarkEnd w:id="104"/>
      <w:bookmarkEnd w:id="105"/>
      <w:bookmarkEnd w:id="106"/>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9.1除技术规格及要求中另有规定外，本采购项目的谈判均采用国家法定的计量单位。</w:t>
      </w:r>
    </w:p>
    <w:p>
      <w:pPr>
        <w:pStyle w:val="6"/>
        <w:kinsoku/>
        <w:overflowPunct/>
        <w:topLinePunct w:val="0"/>
        <w:bidi w:val="0"/>
        <w:spacing w:line="560" w:lineRule="exact"/>
        <w:rPr>
          <w:rFonts w:ascii="宋体" w:hAnsi="宋体" w:cs="宋体"/>
          <w:sz w:val="28"/>
          <w:szCs w:val="28"/>
        </w:rPr>
      </w:pPr>
      <w:bookmarkStart w:id="107" w:name="_Toc325096477"/>
      <w:bookmarkStart w:id="108" w:name="_Toc317509395"/>
      <w:bookmarkStart w:id="109" w:name="_Toc317509242"/>
      <w:bookmarkStart w:id="110" w:name="_Toc325464826"/>
      <w:bookmarkStart w:id="111" w:name="_Toc217446045"/>
      <w:r>
        <w:rPr>
          <w:rFonts w:hint="eastAsia" w:ascii="宋体" w:hAnsi="宋体" w:cs="宋体"/>
          <w:sz w:val="28"/>
          <w:szCs w:val="28"/>
        </w:rPr>
        <w:t>10. 谈判货币</w:t>
      </w:r>
      <w:bookmarkEnd w:id="107"/>
      <w:bookmarkEnd w:id="108"/>
      <w:bookmarkEnd w:id="109"/>
      <w:bookmarkEnd w:id="110"/>
      <w:bookmarkEnd w:id="111"/>
    </w:p>
    <w:p>
      <w:pPr>
        <w:tabs>
          <w:tab w:val="left" w:pos="766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10.1本次竞争性谈判项目的谈判均以人民币报价。</w:t>
      </w:r>
      <w:bookmarkStart w:id="112" w:name="_Toc217446046"/>
    </w:p>
    <w:p>
      <w:pPr>
        <w:pStyle w:val="6"/>
        <w:kinsoku/>
        <w:overflowPunct/>
        <w:topLinePunct w:val="0"/>
        <w:bidi w:val="0"/>
        <w:spacing w:line="560" w:lineRule="exact"/>
        <w:rPr>
          <w:rFonts w:ascii="宋体" w:hAnsi="宋体" w:cs="宋体"/>
          <w:sz w:val="28"/>
          <w:szCs w:val="28"/>
        </w:rPr>
      </w:pPr>
      <w:bookmarkStart w:id="113" w:name="_Toc317509396"/>
      <w:bookmarkStart w:id="114" w:name="_Toc325464827"/>
      <w:bookmarkStart w:id="115" w:name="_Toc317509243"/>
      <w:bookmarkStart w:id="116" w:name="_Toc325096478"/>
      <w:r>
        <w:rPr>
          <w:rFonts w:hint="eastAsia" w:ascii="宋体" w:hAnsi="宋体" w:cs="宋体"/>
          <w:sz w:val="28"/>
          <w:szCs w:val="28"/>
        </w:rPr>
        <w:t>11．联合谈判</w:t>
      </w:r>
      <w:bookmarkEnd w:id="112"/>
      <w:bookmarkEnd w:id="113"/>
      <w:bookmarkEnd w:id="114"/>
      <w:bookmarkEnd w:id="115"/>
      <w:bookmarkEnd w:id="116"/>
    </w:p>
    <w:p>
      <w:pPr>
        <w:tabs>
          <w:tab w:val="left" w:pos="766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11.1不允许联合体参与谈判</w:t>
      </w:r>
      <w:bookmarkStart w:id="117" w:name="_Toc217446047"/>
    </w:p>
    <w:p>
      <w:pPr>
        <w:pStyle w:val="6"/>
        <w:kinsoku/>
        <w:overflowPunct/>
        <w:topLinePunct w:val="0"/>
        <w:bidi w:val="0"/>
        <w:spacing w:line="560" w:lineRule="exact"/>
        <w:rPr>
          <w:rFonts w:ascii="宋体" w:hAnsi="宋体" w:cs="宋体"/>
          <w:sz w:val="28"/>
          <w:szCs w:val="28"/>
        </w:rPr>
      </w:pPr>
      <w:bookmarkStart w:id="118" w:name="_Toc325464828"/>
      <w:bookmarkStart w:id="119" w:name="_Toc325096479"/>
      <w:bookmarkStart w:id="120" w:name="_Toc317509244"/>
      <w:bookmarkStart w:id="121" w:name="_Toc317509397"/>
      <w:r>
        <w:rPr>
          <w:rFonts w:hint="eastAsia" w:ascii="宋体" w:hAnsi="宋体" w:cs="宋体"/>
          <w:sz w:val="28"/>
          <w:szCs w:val="28"/>
        </w:rPr>
        <w:t>12．知识产权</w:t>
      </w:r>
      <w:bookmarkEnd w:id="117"/>
      <w:bookmarkEnd w:id="118"/>
      <w:bookmarkEnd w:id="119"/>
      <w:bookmarkEnd w:id="120"/>
      <w:bookmarkEnd w:id="121"/>
    </w:p>
    <w:p>
      <w:pPr>
        <w:pStyle w:val="8"/>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12.1 响应人应保证在本项目使用的任何产品和服务(包括部分使用)时，不会产生因第三方提出侵犯其专利权、商标权或其它知识产权而引起的法律和经济纠纷，如因专利权、商标权或其它知识产权而引起法律和经济纠纷，由响应人承担所有相关责任。</w:t>
      </w:r>
    </w:p>
    <w:p>
      <w:pPr>
        <w:pStyle w:val="6"/>
        <w:kinsoku/>
        <w:overflowPunct/>
        <w:topLinePunct w:val="0"/>
        <w:bidi w:val="0"/>
        <w:spacing w:line="560" w:lineRule="exact"/>
        <w:rPr>
          <w:rFonts w:ascii="宋体" w:hAnsi="宋体" w:cs="宋体"/>
          <w:sz w:val="28"/>
          <w:szCs w:val="28"/>
        </w:rPr>
      </w:pPr>
      <w:bookmarkStart w:id="122" w:name="_Toc325096480"/>
      <w:bookmarkStart w:id="123" w:name="_Toc183582217"/>
      <w:bookmarkStart w:id="124" w:name="_Toc317509398"/>
      <w:bookmarkStart w:id="125" w:name="_Toc325464829"/>
      <w:bookmarkStart w:id="126" w:name="_Toc317509245"/>
      <w:bookmarkStart w:id="127" w:name="_Toc183682354"/>
      <w:bookmarkStart w:id="128" w:name="_Toc217446048"/>
      <w:r>
        <w:rPr>
          <w:rFonts w:hint="eastAsia" w:ascii="宋体" w:hAnsi="宋体" w:cs="宋体"/>
          <w:sz w:val="28"/>
          <w:szCs w:val="28"/>
        </w:rPr>
        <w:t>13．响应文件的组成</w:t>
      </w:r>
      <w:bookmarkEnd w:id="122"/>
      <w:bookmarkEnd w:id="123"/>
      <w:bookmarkEnd w:id="124"/>
      <w:bookmarkEnd w:id="125"/>
      <w:bookmarkEnd w:id="126"/>
      <w:bookmarkEnd w:id="127"/>
      <w:bookmarkEnd w:id="128"/>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13.1响应人应按照竞争性谈判文件的规定和要求编制响应文件。响应人拟在成交后将成交项目的非主体、非关键性工作交由他人完成的，应当在响应文件中载明。响应人编写的响应文件应包括下列部分：</w:t>
      </w:r>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谈判响应函</w:t>
      </w:r>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法定代表人证明书</w:t>
      </w:r>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法定代表人授权书</w:t>
      </w:r>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报价一览表</w:t>
      </w:r>
    </w:p>
    <w:p>
      <w:pPr>
        <w:kinsoku/>
        <w:overflowPunct/>
        <w:topLinePunct w:val="0"/>
        <w:bidi w:val="0"/>
        <w:spacing w:line="560" w:lineRule="exact"/>
        <w:ind w:firstLine="480" w:firstLineChars="200"/>
        <w:rPr>
          <w:rFonts w:hint="eastAsia" w:ascii="宋体" w:hAnsi="宋体" w:cs="宋体"/>
          <w:sz w:val="24"/>
          <w:szCs w:val="22"/>
        </w:rPr>
      </w:pPr>
      <w:r>
        <w:rPr>
          <w:rFonts w:hint="eastAsia" w:ascii="宋体" w:hAnsi="宋体" w:cs="宋体"/>
          <w:sz w:val="24"/>
          <w:szCs w:val="22"/>
        </w:rPr>
        <w:t>响应人基本情况表</w:t>
      </w:r>
    </w:p>
    <w:p>
      <w:pPr>
        <w:kinsoku/>
        <w:overflowPunct/>
        <w:topLinePunct w:val="0"/>
        <w:bidi w:val="0"/>
        <w:spacing w:line="560" w:lineRule="exact"/>
        <w:ind w:firstLine="480" w:firstLineChars="200"/>
        <w:rPr>
          <w:rFonts w:hint="eastAsia" w:ascii="宋体" w:hAnsi="宋体" w:cs="宋体"/>
          <w:sz w:val="24"/>
          <w:szCs w:val="22"/>
        </w:rPr>
      </w:pPr>
      <w:r>
        <w:rPr>
          <w:rFonts w:hint="eastAsia" w:ascii="宋体" w:hAnsi="宋体" w:cs="宋体"/>
          <w:sz w:val="24"/>
          <w:szCs w:val="22"/>
        </w:rPr>
        <w:t>近</w:t>
      </w:r>
      <w:r>
        <w:rPr>
          <w:rFonts w:hint="eastAsia" w:ascii="宋体" w:hAnsi="宋体" w:cs="宋体"/>
          <w:sz w:val="24"/>
          <w:szCs w:val="22"/>
          <w:lang w:val="en-US" w:eastAsia="zh-CN"/>
        </w:rPr>
        <w:t>3</w:t>
      </w:r>
      <w:r>
        <w:rPr>
          <w:rFonts w:hint="eastAsia" w:ascii="宋体" w:hAnsi="宋体" w:cs="宋体"/>
          <w:sz w:val="24"/>
          <w:szCs w:val="22"/>
        </w:rPr>
        <w:t>年的财务报表</w:t>
      </w:r>
    </w:p>
    <w:p>
      <w:pPr>
        <w:kinsoku/>
        <w:overflowPunct/>
        <w:topLinePunct w:val="0"/>
        <w:bidi w:val="0"/>
        <w:spacing w:line="560" w:lineRule="exact"/>
        <w:ind w:firstLine="480" w:firstLineChars="200"/>
        <w:rPr>
          <w:rFonts w:hint="eastAsia" w:ascii="宋体" w:hAnsi="宋体" w:cs="宋体"/>
          <w:sz w:val="24"/>
          <w:szCs w:val="22"/>
        </w:rPr>
      </w:pPr>
      <w:r>
        <w:rPr>
          <w:rFonts w:hint="eastAsia" w:ascii="宋体" w:hAnsi="宋体" w:cs="宋体"/>
          <w:sz w:val="24"/>
          <w:szCs w:val="22"/>
        </w:rPr>
        <w:t>近</w:t>
      </w:r>
      <w:r>
        <w:rPr>
          <w:rFonts w:hint="eastAsia" w:ascii="宋体" w:hAnsi="宋体" w:cs="宋体"/>
          <w:sz w:val="24"/>
          <w:szCs w:val="22"/>
          <w:lang w:val="en-US" w:eastAsia="zh-CN"/>
        </w:rPr>
        <w:t>3</w:t>
      </w:r>
      <w:r>
        <w:rPr>
          <w:rFonts w:hint="eastAsia" w:ascii="宋体" w:hAnsi="宋体" w:cs="宋体"/>
          <w:sz w:val="24"/>
          <w:szCs w:val="22"/>
        </w:rPr>
        <w:t>年以来承担同类项目业绩一览表</w:t>
      </w:r>
    </w:p>
    <w:p>
      <w:pPr>
        <w:kinsoku/>
        <w:overflowPunct/>
        <w:topLinePunct w:val="0"/>
        <w:bidi w:val="0"/>
        <w:spacing w:line="560" w:lineRule="exact"/>
        <w:ind w:firstLine="480" w:firstLineChars="200"/>
        <w:rPr>
          <w:rFonts w:hint="eastAsia" w:ascii="宋体" w:hAnsi="宋体" w:cs="宋体"/>
          <w:sz w:val="24"/>
          <w:szCs w:val="22"/>
        </w:rPr>
      </w:pPr>
      <w:r>
        <w:rPr>
          <w:rFonts w:hint="eastAsia" w:ascii="宋体" w:hAnsi="宋体" w:cs="宋体"/>
          <w:sz w:val="24"/>
          <w:szCs w:val="22"/>
        </w:rPr>
        <w:t>拟提供产品性能及参数概况表</w:t>
      </w:r>
    </w:p>
    <w:p>
      <w:pPr>
        <w:pStyle w:val="6"/>
        <w:tabs>
          <w:tab w:val="left" w:pos="3240"/>
        </w:tabs>
        <w:kinsoku/>
        <w:overflowPunct/>
        <w:topLinePunct w:val="0"/>
        <w:bidi w:val="0"/>
        <w:spacing w:line="560" w:lineRule="exact"/>
        <w:rPr>
          <w:rFonts w:ascii="宋体" w:hAnsi="宋体" w:cs="宋体"/>
          <w:sz w:val="28"/>
          <w:szCs w:val="28"/>
        </w:rPr>
      </w:pPr>
      <w:bookmarkStart w:id="129" w:name="_Toc317509246"/>
      <w:bookmarkStart w:id="130" w:name="_Toc325096481"/>
      <w:bookmarkStart w:id="131" w:name="_Toc317509399"/>
      <w:bookmarkStart w:id="132" w:name="_Toc217446049"/>
      <w:bookmarkStart w:id="133" w:name="_Toc183682355"/>
      <w:bookmarkStart w:id="134" w:name="_Toc183582218"/>
      <w:bookmarkStart w:id="135" w:name="_Toc325464830"/>
      <w:r>
        <w:rPr>
          <w:rFonts w:hint="eastAsia" w:ascii="宋体" w:hAnsi="宋体" w:cs="宋体"/>
          <w:sz w:val="28"/>
          <w:szCs w:val="28"/>
        </w:rPr>
        <w:t>14．响应文件格式</w:t>
      </w:r>
      <w:bookmarkEnd w:id="129"/>
      <w:bookmarkEnd w:id="130"/>
      <w:bookmarkEnd w:id="131"/>
      <w:bookmarkEnd w:id="132"/>
      <w:bookmarkEnd w:id="133"/>
      <w:bookmarkEnd w:id="134"/>
      <w:bookmarkEnd w:id="135"/>
    </w:p>
    <w:p>
      <w:pPr>
        <w:kinsoku/>
        <w:overflowPunct/>
        <w:topLinePunct w:val="0"/>
        <w:bidi w:val="0"/>
        <w:spacing w:line="560" w:lineRule="exact"/>
        <w:ind w:firstLine="480" w:firstLineChars="200"/>
        <w:rPr>
          <w:rFonts w:ascii="宋体" w:hAnsi="宋体" w:cs="宋体"/>
          <w:sz w:val="24"/>
        </w:rPr>
      </w:pPr>
      <w:bookmarkStart w:id="136" w:name="_Toc183582223"/>
      <w:bookmarkStart w:id="137" w:name="_Toc183682360"/>
      <w:bookmarkStart w:id="138" w:name="_Toc217446050"/>
      <w:r>
        <w:rPr>
          <w:rFonts w:hint="eastAsia" w:ascii="宋体" w:hAnsi="宋体" w:cs="宋体"/>
          <w:sz w:val="24"/>
        </w:rPr>
        <w:t>14.1响应人应严格按照竞争性谈判文件第六章中提供的“响应文件格式”填写相关内容。除明确允许响应人可以自行编写的外，响应人不得以“响应文件格式”规定之外的方式填写相关内容。若《谈判响应函》、《法定代表人授权书》、《报价一览表》未签字和加盖响应人公章(鲜章)的，视为无效竞标。</w:t>
      </w:r>
    </w:p>
    <w:bookmarkEnd w:id="136"/>
    <w:bookmarkEnd w:id="137"/>
    <w:bookmarkEnd w:id="138"/>
    <w:p>
      <w:pPr>
        <w:pStyle w:val="6"/>
        <w:kinsoku/>
        <w:overflowPunct/>
        <w:topLinePunct w:val="0"/>
        <w:bidi w:val="0"/>
        <w:spacing w:line="560" w:lineRule="exact"/>
        <w:rPr>
          <w:rFonts w:ascii="宋体" w:hAnsi="宋体" w:cs="宋体"/>
          <w:sz w:val="28"/>
          <w:szCs w:val="28"/>
        </w:rPr>
      </w:pPr>
      <w:bookmarkStart w:id="139" w:name="_Toc183682361"/>
      <w:bookmarkStart w:id="140" w:name="_Toc325096485"/>
      <w:bookmarkStart w:id="141" w:name="_Toc217446051"/>
      <w:bookmarkStart w:id="142" w:name="_Toc183582224"/>
      <w:bookmarkStart w:id="143" w:name="_Toc325464834"/>
      <w:bookmarkStart w:id="144" w:name="_Toc317509403"/>
      <w:bookmarkStart w:id="145" w:name="_Toc317509250"/>
      <w:r>
        <w:rPr>
          <w:rFonts w:hint="eastAsia" w:ascii="宋体" w:hAnsi="宋体" w:cs="宋体"/>
          <w:sz w:val="28"/>
          <w:szCs w:val="28"/>
        </w:rPr>
        <w:t>15．谈判有效期</w:t>
      </w:r>
      <w:bookmarkEnd w:id="139"/>
      <w:bookmarkEnd w:id="140"/>
      <w:bookmarkEnd w:id="141"/>
      <w:bookmarkEnd w:id="142"/>
      <w:bookmarkEnd w:id="143"/>
      <w:bookmarkEnd w:id="144"/>
      <w:bookmarkEnd w:id="145"/>
    </w:p>
    <w:p>
      <w:pPr>
        <w:tabs>
          <w:tab w:val="left" w:pos="766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15.1 谈判有效期见谈判须知前附表。谈判有效期短于此规定期限的谈判，将被拒绝。</w:t>
      </w:r>
    </w:p>
    <w:p>
      <w:pPr>
        <w:tabs>
          <w:tab w:val="left" w:pos="766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15.2 特殊情况下，采购人可于谈判有效期满之前要求响应人同意延长有效期，要求与答复均应为书面形式。</w:t>
      </w:r>
    </w:p>
    <w:p>
      <w:pPr>
        <w:pStyle w:val="6"/>
        <w:kinsoku/>
        <w:overflowPunct/>
        <w:topLinePunct w:val="0"/>
        <w:bidi w:val="0"/>
        <w:spacing w:line="560" w:lineRule="exact"/>
        <w:rPr>
          <w:rFonts w:ascii="宋体" w:hAnsi="宋体" w:cs="宋体"/>
          <w:sz w:val="28"/>
          <w:szCs w:val="28"/>
        </w:rPr>
      </w:pPr>
      <w:bookmarkStart w:id="146" w:name="_Toc183582225"/>
      <w:bookmarkStart w:id="147" w:name="_Toc325464835"/>
      <w:bookmarkStart w:id="148" w:name="_Toc217446052"/>
      <w:bookmarkStart w:id="149" w:name="_Toc317509251"/>
      <w:bookmarkStart w:id="150" w:name="_Toc325096486"/>
      <w:bookmarkStart w:id="151" w:name="_Toc317509404"/>
      <w:bookmarkStart w:id="152" w:name="_Toc183682362"/>
      <w:r>
        <w:rPr>
          <w:rFonts w:hint="eastAsia" w:ascii="宋体" w:hAnsi="宋体" w:cs="宋体"/>
          <w:sz w:val="28"/>
          <w:szCs w:val="28"/>
        </w:rPr>
        <w:t>16．响应文件的印制和签署</w:t>
      </w:r>
      <w:bookmarkEnd w:id="146"/>
      <w:bookmarkEnd w:id="147"/>
      <w:bookmarkEnd w:id="148"/>
      <w:bookmarkEnd w:id="149"/>
      <w:bookmarkEnd w:id="150"/>
      <w:bookmarkEnd w:id="151"/>
      <w:bookmarkEnd w:id="152"/>
    </w:p>
    <w:p>
      <w:pPr>
        <w:tabs>
          <w:tab w:val="left" w:pos="1080"/>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16.1 响应人应按“谈判须知前附表”准备响应文件正本、副本、电子文档。响应文件的正本和副本应在其封面右上角清楚地标明“正本”或“副本”字样。若正本和副本有不一致的内容，以正本书面响应文件为准。</w:t>
      </w:r>
    </w:p>
    <w:p>
      <w:pPr>
        <w:tabs>
          <w:tab w:val="left" w:pos="109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16.2 响应文件的正本和副本均需打印或用不褪色、不变质的墨水书写，并由响应人的法定代表人或其授权代表在规定签章处签字和盖鲜章。</w:t>
      </w:r>
    </w:p>
    <w:p>
      <w:pPr>
        <w:tabs>
          <w:tab w:val="left" w:pos="109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16.3 响应文件的打印和书写应清楚工整，任何行间插字、涂改或增删，必须由响应人的法定代表人或其授权代表签字或盖个人印鉴。字迹潦草、表达不清或可能导致非唯一理解的响应文件可能视为无效谈判。</w:t>
      </w:r>
    </w:p>
    <w:p>
      <w:pPr>
        <w:tabs>
          <w:tab w:val="left" w:pos="1080"/>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16.4 响应文件应根据竞争性谈判文件的要求制作，签署、盖章和内容应完整。</w:t>
      </w:r>
    </w:p>
    <w:p>
      <w:pPr>
        <w:tabs>
          <w:tab w:val="left" w:pos="1080"/>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16.5 响应文件统一用A4幅面纸印制。</w:t>
      </w:r>
    </w:p>
    <w:p>
      <w:pPr>
        <w:pStyle w:val="6"/>
        <w:kinsoku/>
        <w:overflowPunct/>
        <w:topLinePunct w:val="0"/>
        <w:bidi w:val="0"/>
        <w:spacing w:line="560" w:lineRule="exact"/>
        <w:rPr>
          <w:rFonts w:ascii="宋体" w:hAnsi="宋体" w:cs="宋体"/>
          <w:sz w:val="28"/>
          <w:szCs w:val="28"/>
        </w:rPr>
      </w:pPr>
      <w:bookmarkStart w:id="153" w:name="_Toc183582226"/>
      <w:bookmarkStart w:id="154" w:name="_Toc89075877"/>
      <w:bookmarkStart w:id="155" w:name="_Toc183682363"/>
      <w:bookmarkStart w:id="156" w:name="_Toc77400781"/>
      <w:bookmarkStart w:id="157" w:name="_Toc217446053"/>
      <w:bookmarkStart w:id="158" w:name="_Toc317509405"/>
      <w:bookmarkStart w:id="159" w:name="_Toc325096487"/>
      <w:bookmarkStart w:id="160" w:name="_Toc317509252"/>
      <w:bookmarkStart w:id="161" w:name="_Toc325464836"/>
      <w:r>
        <w:rPr>
          <w:rFonts w:hint="eastAsia" w:ascii="宋体" w:hAnsi="宋体" w:cs="宋体"/>
          <w:sz w:val="28"/>
          <w:szCs w:val="28"/>
        </w:rPr>
        <w:t>17. 响应文件的密封和标</w:t>
      </w:r>
      <w:bookmarkEnd w:id="153"/>
      <w:bookmarkEnd w:id="154"/>
      <w:bookmarkEnd w:id="155"/>
      <w:bookmarkEnd w:id="156"/>
      <w:r>
        <w:rPr>
          <w:rFonts w:hint="eastAsia" w:ascii="宋体" w:hAnsi="宋体" w:cs="宋体"/>
          <w:sz w:val="28"/>
          <w:szCs w:val="28"/>
        </w:rPr>
        <w:t>注</w:t>
      </w:r>
      <w:bookmarkEnd w:id="157"/>
      <w:bookmarkEnd w:id="158"/>
      <w:bookmarkEnd w:id="159"/>
      <w:bookmarkEnd w:id="160"/>
      <w:bookmarkEnd w:id="161"/>
    </w:p>
    <w:p>
      <w:pPr>
        <w:tabs>
          <w:tab w:val="left" w:pos="1080"/>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17.1 响应人应在响应文件正本和所有副本的封面上注明响应人名称、项目名称。</w:t>
      </w:r>
    </w:p>
    <w:p>
      <w:pPr>
        <w:tabs>
          <w:tab w:val="left" w:pos="1080"/>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17.2响应文件正本、所有副本、电子文档应分别封装于不同的密封袋内，密封袋上应分别标上“正本”、“副本”、 “电子文档”字样。</w:t>
      </w:r>
    </w:p>
    <w:p>
      <w:pPr>
        <w:tabs>
          <w:tab w:val="left" w:pos="1080"/>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17.3 所有外层密封袋的封口处应粘贴牢固，密封袋上</w:t>
      </w:r>
      <w:r>
        <w:rPr>
          <w:rFonts w:hint="eastAsia" w:ascii="宋体" w:hAnsi="宋体" w:cs="宋体"/>
          <w:sz w:val="24"/>
          <w:szCs w:val="24"/>
        </w:rPr>
        <w:t>注明响应人名称、项目名称、及谈判日期</w:t>
      </w:r>
      <w:r>
        <w:rPr>
          <w:rFonts w:hint="eastAsia" w:ascii="宋体" w:hAnsi="宋体" w:cs="宋体"/>
          <w:sz w:val="24"/>
        </w:rPr>
        <w:t>，并加盖密封章(响应人公章)。</w:t>
      </w:r>
    </w:p>
    <w:p>
      <w:pPr>
        <w:tabs>
          <w:tab w:val="left" w:pos="1080"/>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17.4 未按以上要求进行密封和标注的响应文件将被拒绝。</w:t>
      </w:r>
    </w:p>
    <w:p>
      <w:pPr>
        <w:pStyle w:val="6"/>
        <w:kinsoku/>
        <w:overflowPunct/>
        <w:topLinePunct w:val="0"/>
        <w:bidi w:val="0"/>
        <w:spacing w:line="560" w:lineRule="exact"/>
        <w:rPr>
          <w:rFonts w:ascii="宋体" w:hAnsi="宋体" w:cs="宋体"/>
          <w:sz w:val="28"/>
          <w:szCs w:val="28"/>
        </w:rPr>
      </w:pPr>
      <w:bookmarkStart w:id="162" w:name="_Toc325096488"/>
      <w:bookmarkStart w:id="163" w:name="_Toc317509406"/>
      <w:bookmarkStart w:id="164" w:name="_Toc325464837"/>
      <w:bookmarkStart w:id="165" w:name="_Toc317509253"/>
      <w:r>
        <w:rPr>
          <w:rFonts w:hint="eastAsia" w:ascii="宋体" w:hAnsi="宋体" w:cs="宋体"/>
          <w:bCs/>
          <w:sz w:val="28"/>
          <w:szCs w:val="28"/>
        </w:rPr>
        <w:t xml:space="preserve">18. </w:t>
      </w:r>
      <w:r>
        <w:rPr>
          <w:rFonts w:hint="eastAsia" w:ascii="宋体" w:hAnsi="宋体" w:cs="宋体"/>
          <w:sz w:val="28"/>
          <w:szCs w:val="28"/>
        </w:rPr>
        <w:t>响应文件的递交</w:t>
      </w:r>
      <w:bookmarkEnd w:id="162"/>
      <w:bookmarkEnd w:id="163"/>
      <w:bookmarkEnd w:id="164"/>
      <w:bookmarkEnd w:id="165"/>
    </w:p>
    <w:p>
      <w:pPr>
        <w:pStyle w:val="7"/>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18.1 响应人应在竞争性谈判文件规定的时间和地点递交响应文件；</w:t>
      </w:r>
    </w:p>
    <w:p>
      <w:pPr>
        <w:pStyle w:val="7"/>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18.2 本次竞争性谈判不接受邮寄的响应文件。</w:t>
      </w:r>
    </w:p>
    <w:p>
      <w:pPr>
        <w:pStyle w:val="5"/>
        <w:kinsoku/>
        <w:overflowPunct/>
        <w:topLinePunct w:val="0"/>
        <w:bidi w:val="0"/>
        <w:spacing w:line="560" w:lineRule="exact"/>
        <w:jc w:val="center"/>
        <w:rPr>
          <w:rFonts w:ascii="宋体" w:hAnsi="宋体" w:eastAsia="宋体" w:cs="宋体"/>
          <w:sz w:val="32"/>
          <w:szCs w:val="32"/>
        </w:rPr>
      </w:pPr>
      <w:bookmarkStart w:id="166" w:name="_Toc89075878"/>
      <w:bookmarkStart w:id="167" w:name="_Toc77400782"/>
      <w:bookmarkStart w:id="168" w:name="_Toc183682368"/>
      <w:bookmarkStart w:id="169" w:name="_Toc217446056"/>
      <w:bookmarkStart w:id="170" w:name="_Toc183582231"/>
      <w:bookmarkStart w:id="171" w:name="_Toc325464838"/>
      <w:bookmarkStart w:id="172" w:name="_Toc217446059"/>
      <w:r>
        <w:rPr>
          <w:rFonts w:hint="eastAsia" w:ascii="宋体" w:hAnsi="宋体" w:eastAsia="宋体" w:cs="宋体"/>
          <w:sz w:val="32"/>
          <w:szCs w:val="32"/>
        </w:rPr>
        <w:t>四、</w:t>
      </w:r>
      <w:bookmarkEnd w:id="166"/>
      <w:bookmarkEnd w:id="167"/>
      <w:bookmarkEnd w:id="168"/>
      <w:bookmarkEnd w:id="169"/>
      <w:bookmarkEnd w:id="170"/>
      <w:r>
        <w:rPr>
          <w:rFonts w:hint="eastAsia" w:ascii="宋体" w:hAnsi="宋体" w:eastAsia="宋体" w:cs="宋体"/>
          <w:sz w:val="32"/>
          <w:szCs w:val="32"/>
        </w:rPr>
        <w:t>谈判办法</w:t>
      </w:r>
      <w:bookmarkEnd w:id="171"/>
    </w:p>
    <w:p>
      <w:pPr>
        <w:kinsoku/>
        <w:overflowPunct/>
        <w:topLinePunct w:val="0"/>
        <w:bidi w:val="0"/>
        <w:spacing w:line="560" w:lineRule="exact"/>
        <w:rPr>
          <w:rFonts w:ascii="宋体" w:hAnsi="宋体" w:cs="宋体"/>
          <w:b/>
          <w:sz w:val="28"/>
          <w:szCs w:val="28"/>
        </w:rPr>
      </w:pPr>
      <w:bookmarkStart w:id="173" w:name="_Toc317509408"/>
      <w:bookmarkStart w:id="174" w:name="_Toc325096490"/>
      <w:bookmarkStart w:id="175" w:name="_Toc325464839"/>
      <w:bookmarkStart w:id="176" w:name="_Toc317509255"/>
      <w:r>
        <w:rPr>
          <w:rFonts w:hint="eastAsia" w:ascii="宋体" w:hAnsi="宋体" w:cs="宋体"/>
          <w:b/>
          <w:sz w:val="28"/>
          <w:szCs w:val="28"/>
        </w:rPr>
        <w:t>19.谈判流程</w:t>
      </w:r>
      <w:bookmarkEnd w:id="173"/>
      <w:bookmarkEnd w:id="174"/>
      <w:bookmarkEnd w:id="175"/>
      <w:bookmarkEnd w:id="176"/>
    </w:p>
    <w:bookmarkEnd w:id="172"/>
    <w:p>
      <w:pPr>
        <w:widowControl/>
        <w:kinsoku/>
        <w:overflowPunct/>
        <w:topLinePunct w:val="0"/>
        <w:autoSpaceDE w:val="0"/>
        <w:autoSpaceDN w:val="0"/>
        <w:bidi w:val="0"/>
        <w:spacing w:line="560" w:lineRule="exact"/>
        <w:ind w:right="53" w:firstLine="480" w:firstLineChars="200"/>
        <w:textAlignment w:val="bottom"/>
        <w:rPr>
          <w:rFonts w:hint="default" w:ascii="宋体" w:hAnsi="宋体" w:eastAsia="宋体" w:cs="宋体"/>
          <w:kern w:val="2"/>
          <w:sz w:val="24"/>
          <w:szCs w:val="24"/>
          <w:lang w:val="en-US" w:eastAsia="zh-CN" w:bidi="ar-SA"/>
        </w:rPr>
      </w:pPr>
      <w:bookmarkStart w:id="177" w:name="_Toc217446060"/>
      <w:r>
        <w:rPr>
          <w:rFonts w:hint="eastAsia" w:ascii="宋体" w:hAnsi="宋体" w:eastAsia="宋体" w:cs="宋体"/>
          <w:kern w:val="2"/>
          <w:sz w:val="24"/>
          <w:szCs w:val="24"/>
          <w:lang w:val="zh-CN" w:eastAsia="zh-CN" w:bidi="ar-SA"/>
        </w:rPr>
        <w:t>19.1谈判按竞争性谈判文件规定的时间和地点进行。响应人须有法人或法人授权代表参加并签到，并对所递交的响应文件进行密封性检查和签字确认。</w:t>
      </w:r>
    </w:p>
    <w:p>
      <w:pPr>
        <w:widowControl/>
        <w:kinsoku/>
        <w:overflowPunct/>
        <w:topLinePunct w:val="0"/>
        <w:autoSpaceDE w:val="0"/>
        <w:autoSpaceDN w:val="0"/>
        <w:bidi w:val="0"/>
        <w:spacing w:line="560" w:lineRule="exact"/>
        <w:ind w:right="53" w:firstLine="480" w:firstLineChars="200"/>
        <w:textAlignment w:val="bottom"/>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19.2谈判小组对响应人提交的响应文件进行符合性评审、资格审查及响应性评审。</w:t>
      </w:r>
    </w:p>
    <w:p>
      <w:pPr>
        <w:widowControl/>
        <w:kinsoku/>
        <w:overflowPunct/>
        <w:topLinePunct w:val="0"/>
        <w:autoSpaceDE w:val="0"/>
        <w:autoSpaceDN w:val="0"/>
        <w:bidi w:val="0"/>
        <w:spacing w:line="560" w:lineRule="exact"/>
        <w:ind w:right="53" w:firstLine="480" w:firstLineChars="200"/>
        <w:textAlignment w:val="bottom"/>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19.3谈判小组按照抽签顺序分别与合格的响应人进行谈判。</w:t>
      </w:r>
    </w:p>
    <w:p>
      <w:pPr>
        <w:widowControl/>
        <w:kinsoku/>
        <w:overflowPunct/>
        <w:topLinePunct w:val="0"/>
        <w:autoSpaceDE w:val="0"/>
        <w:autoSpaceDN w:val="0"/>
        <w:bidi w:val="0"/>
        <w:spacing w:line="560" w:lineRule="exact"/>
        <w:ind w:right="53" w:firstLine="480" w:firstLineChars="200"/>
        <w:textAlignment w:val="bottom"/>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19.4合格响应人对</w:t>
      </w:r>
      <w:r>
        <w:rPr>
          <w:rFonts w:hint="eastAsia" w:ascii="宋体" w:hAnsi="宋体" w:eastAsia="宋体" w:cs="宋体"/>
          <w:kern w:val="2"/>
          <w:sz w:val="24"/>
          <w:szCs w:val="24"/>
          <w:lang w:val="zh-CN" w:eastAsia="zh-CN" w:bidi="ar-SA"/>
        </w:rPr>
        <w:t>设计方案、效果图或实物图、所选主要材料（材质、环保指标等）</w:t>
      </w:r>
      <w:r>
        <w:rPr>
          <w:rFonts w:hint="eastAsia" w:ascii="宋体" w:hAnsi="宋体" w:eastAsia="宋体" w:cs="宋体"/>
          <w:kern w:val="2"/>
          <w:sz w:val="24"/>
          <w:szCs w:val="24"/>
          <w:lang w:val="en-US" w:eastAsia="zh-CN" w:bidi="ar-SA"/>
        </w:rPr>
        <w:t>加工工艺</w:t>
      </w:r>
      <w:r>
        <w:rPr>
          <w:rFonts w:hint="eastAsia" w:ascii="宋体" w:hAnsi="宋体" w:eastAsia="宋体" w:cs="宋体"/>
          <w:kern w:val="2"/>
          <w:sz w:val="24"/>
          <w:szCs w:val="24"/>
          <w:lang w:val="zh-CN" w:eastAsia="zh-CN" w:bidi="ar-SA"/>
        </w:rPr>
        <w:t>，通过现场投影、</w:t>
      </w:r>
      <w:r>
        <w:rPr>
          <w:rFonts w:hint="eastAsia" w:ascii="宋体" w:hAnsi="宋体" w:eastAsia="宋体" w:cs="宋体"/>
          <w:kern w:val="2"/>
          <w:sz w:val="24"/>
          <w:szCs w:val="24"/>
          <w:lang w:val="en-US" w:eastAsia="zh-CN" w:bidi="ar-SA"/>
        </w:rPr>
        <w:t>生产工艺视频和文字、</w:t>
      </w:r>
      <w:r>
        <w:rPr>
          <w:rFonts w:hint="eastAsia" w:ascii="宋体" w:hAnsi="宋体" w:eastAsia="宋体" w:cs="宋体"/>
          <w:kern w:val="2"/>
          <w:sz w:val="24"/>
          <w:szCs w:val="24"/>
          <w:lang w:val="zh-CN" w:eastAsia="zh-CN" w:bidi="ar-SA"/>
        </w:rPr>
        <w:t>材料实物进行展示并解说，然后进行二次报价。二次报价作为最终报价。</w:t>
      </w:r>
    </w:p>
    <w:p>
      <w:pPr>
        <w:widowControl/>
        <w:kinsoku/>
        <w:overflowPunct/>
        <w:topLinePunct w:val="0"/>
        <w:autoSpaceDE w:val="0"/>
        <w:autoSpaceDN w:val="0"/>
        <w:bidi w:val="0"/>
        <w:spacing w:line="560" w:lineRule="exact"/>
        <w:ind w:right="53" w:firstLine="480" w:firstLineChars="200"/>
        <w:textAlignment w:val="bottom"/>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19.</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zh-CN" w:eastAsia="zh-CN" w:bidi="ar-SA"/>
        </w:rPr>
        <w:t>谈判小组按照综合得分对响应人进行排序，推荐成交候选人。</w:t>
      </w:r>
    </w:p>
    <w:p>
      <w:pPr>
        <w:widowControl/>
        <w:kinsoku/>
        <w:overflowPunct/>
        <w:topLinePunct w:val="0"/>
        <w:autoSpaceDE w:val="0"/>
        <w:autoSpaceDN w:val="0"/>
        <w:bidi w:val="0"/>
        <w:spacing w:line="560" w:lineRule="exact"/>
        <w:ind w:right="53" w:firstLine="480" w:firstLineChars="200"/>
        <w:textAlignment w:val="bottom"/>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19.</w:t>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zh-CN" w:eastAsia="zh-CN" w:bidi="ar-SA"/>
        </w:rPr>
        <w:t>采购人按照谈判小组推荐成交候选人的顺序确定成交人。</w:t>
      </w:r>
    </w:p>
    <w:p>
      <w:pPr>
        <w:widowControl/>
        <w:kinsoku/>
        <w:overflowPunct/>
        <w:topLinePunct w:val="0"/>
        <w:autoSpaceDE w:val="0"/>
        <w:autoSpaceDN w:val="0"/>
        <w:bidi w:val="0"/>
        <w:spacing w:line="560" w:lineRule="exact"/>
        <w:ind w:right="53"/>
        <w:textAlignment w:val="bottom"/>
        <w:rPr>
          <w:rFonts w:ascii="宋体" w:hAnsi="宋体" w:cs="宋体"/>
          <w:b/>
          <w:sz w:val="28"/>
          <w:szCs w:val="28"/>
        </w:rPr>
      </w:pPr>
      <w:r>
        <w:rPr>
          <w:rFonts w:hint="eastAsia" w:ascii="宋体" w:hAnsi="宋体" w:cs="宋体"/>
          <w:b/>
          <w:sz w:val="28"/>
          <w:szCs w:val="28"/>
        </w:rPr>
        <w:t>20.</w:t>
      </w:r>
      <w:r>
        <w:rPr>
          <w:rFonts w:ascii="宋体" w:hAnsi="宋体" w:cs="宋体"/>
          <w:b/>
          <w:sz w:val="28"/>
          <w:szCs w:val="28"/>
        </w:rPr>
        <w:t>谈判内容和方式</w:t>
      </w:r>
    </w:p>
    <w:p>
      <w:pPr>
        <w:widowControl/>
        <w:kinsoku/>
        <w:overflowPunct/>
        <w:topLinePunct w:val="0"/>
        <w:autoSpaceDE w:val="0"/>
        <w:autoSpaceDN w:val="0"/>
        <w:bidi w:val="0"/>
        <w:spacing w:line="560" w:lineRule="exact"/>
        <w:ind w:right="53" w:firstLine="480" w:firstLineChars="200"/>
        <w:textAlignment w:val="bottom"/>
        <w:rPr>
          <w:rFonts w:ascii="宋体" w:hAnsi="宋体"/>
          <w:sz w:val="24"/>
          <w:szCs w:val="24"/>
        </w:rPr>
      </w:pPr>
      <w:r>
        <w:rPr>
          <w:rFonts w:hint="eastAsia" w:ascii="宋体" w:hAnsi="宋体"/>
          <w:sz w:val="24"/>
          <w:szCs w:val="24"/>
        </w:rPr>
        <w:t>20.1本次竞争性谈判采用</w:t>
      </w:r>
      <w:r>
        <w:rPr>
          <w:rFonts w:hint="eastAsia" w:ascii="宋体" w:hAnsi="宋体"/>
          <w:sz w:val="24"/>
          <w:szCs w:val="24"/>
          <w:lang w:eastAsia="zh-CN"/>
        </w:rPr>
        <w:t>一</w:t>
      </w:r>
      <w:r>
        <w:rPr>
          <w:rFonts w:hint="eastAsia" w:ascii="宋体" w:hAnsi="宋体"/>
          <w:sz w:val="24"/>
          <w:szCs w:val="24"/>
        </w:rPr>
        <w:t>轮谈判和最终报价的方式进行。</w:t>
      </w:r>
    </w:p>
    <w:p>
      <w:pPr>
        <w:kinsoku/>
        <w:overflowPunct/>
        <w:topLinePunct w:val="0"/>
        <w:bidi w:val="0"/>
        <w:snapToGrid w:val="0"/>
        <w:spacing w:line="560" w:lineRule="exact"/>
        <w:ind w:firstLine="260" w:firstLineChars="100"/>
        <w:rPr>
          <w:rFonts w:ascii="宋体" w:hAnsi="宋体"/>
          <w:sz w:val="24"/>
          <w:szCs w:val="24"/>
        </w:rPr>
      </w:pPr>
      <w:bookmarkStart w:id="178" w:name="_Toc124576324"/>
      <w:bookmarkStart w:id="179" w:name="_Toc124734974"/>
      <w:bookmarkStart w:id="180" w:name="_Toc128798479"/>
      <w:bookmarkStart w:id="181" w:name="_Toc222556814"/>
      <w:bookmarkStart w:id="182" w:name="_Toc128798589"/>
      <w:r>
        <w:rPr>
          <w:rFonts w:hint="eastAsia" w:ascii="宋体" w:hAnsi="宋体"/>
          <w:spacing w:val="10"/>
          <w:sz w:val="24"/>
          <w:szCs w:val="24"/>
        </w:rPr>
        <w:t>（1）</w:t>
      </w:r>
      <w:r>
        <w:rPr>
          <w:rFonts w:hint="eastAsia" w:ascii="宋体" w:hAnsi="宋体"/>
          <w:sz w:val="24"/>
          <w:szCs w:val="24"/>
        </w:rPr>
        <w:t>谈判小组对响应人提交的响应文件进行符合性评审、资格审查及响应性评审；</w:t>
      </w:r>
    </w:p>
    <w:p>
      <w:pPr>
        <w:kinsoku/>
        <w:overflowPunct/>
        <w:topLinePunct w:val="0"/>
        <w:bidi w:val="0"/>
        <w:snapToGrid w:val="0"/>
        <w:spacing w:line="560" w:lineRule="exact"/>
        <w:ind w:firstLine="260" w:firstLineChars="100"/>
        <w:rPr>
          <w:rFonts w:ascii="宋体" w:hAnsi="宋体"/>
          <w:sz w:val="24"/>
          <w:szCs w:val="24"/>
        </w:rPr>
      </w:pPr>
      <w:r>
        <w:rPr>
          <w:rFonts w:hint="eastAsia" w:ascii="宋体" w:hAnsi="宋体"/>
          <w:spacing w:val="10"/>
          <w:sz w:val="24"/>
          <w:szCs w:val="24"/>
        </w:rPr>
        <w:t>（</w:t>
      </w:r>
      <w:r>
        <w:rPr>
          <w:rFonts w:ascii="宋体" w:hAnsi="宋体"/>
          <w:spacing w:val="10"/>
          <w:sz w:val="24"/>
          <w:szCs w:val="24"/>
        </w:rPr>
        <w:t>2</w:t>
      </w:r>
      <w:r>
        <w:rPr>
          <w:rFonts w:hint="eastAsia" w:ascii="宋体" w:hAnsi="宋体"/>
          <w:spacing w:val="10"/>
          <w:sz w:val="24"/>
          <w:szCs w:val="24"/>
        </w:rPr>
        <w:t>）</w:t>
      </w:r>
      <w:r>
        <w:rPr>
          <w:rFonts w:ascii="宋体" w:hAnsi="宋体"/>
          <w:sz w:val="24"/>
          <w:szCs w:val="24"/>
        </w:rPr>
        <w:t>确定谈判顺序</w:t>
      </w:r>
      <w:bookmarkEnd w:id="178"/>
      <w:bookmarkEnd w:id="179"/>
      <w:bookmarkEnd w:id="180"/>
      <w:bookmarkEnd w:id="181"/>
      <w:bookmarkEnd w:id="182"/>
    </w:p>
    <w:p>
      <w:pPr>
        <w:widowControl/>
        <w:kinsoku/>
        <w:overflowPunct/>
        <w:topLinePunct w:val="0"/>
        <w:autoSpaceDE w:val="0"/>
        <w:autoSpaceDN w:val="0"/>
        <w:bidi w:val="0"/>
        <w:spacing w:line="560" w:lineRule="exact"/>
        <w:ind w:right="53" w:firstLine="480" w:firstLineChars="200"/>
        <w:textAlignment w:val="bottom"/>
        <w:rPr>
          <w:rFonts w:ascii="宋体" w:hAnsi="宋体"/>
          <w:sz w:val="24"/>
          <w:szCs w:val="24"/>
        </w:rPr>
      </w:pPr>
      <w:r>
        <w:rPr>
          <w:rFonts w:ascii="宋体" w:hAnsi="宋体"/>
          <w:sz w:val="24"/>
          <w:szCs w:val="24"/>
        </w:rPr>
        <w:t>通过</w:t>
      </w:r>
      <w:r>
        <w:rPr>
          <w:rFonts w:hint="eastAsia" w:ascii="宋体" w:hAnsi="宋体"/>
          <w:sz w:val="24"/>
          <w:szCs w:val="24"/>
        </w:rPr>
        <w:t>符合性评审、资格审查及响应性评审</w:t>
      </w:r>
      <w:r>
        <w:rPr>
          <w:rFonts w:ascii="宋体" w:hAnsi="宋体"/>
          <w:sz w:val="24"/>
          <w:szCs w:val="24"/>
        </w:rPr>
        <w:t>的</w:t>
      </w:r>
      <w:r>
        <w:rPr>
          <w:rFonts w:hint="eastAsia" w:ascii="宋体" w:hAnsi="宋体"/>
          <w:sz w:val="24"/>
          <w:szCs w:val="24"/>
        </w:rPr>
        <w:t>响应人</w:t>
      </w:r>
      <w:r>
        <w:rPr>
          <w:rFonts w:ascii="宋体" w:hAnsi="宋体"/>
          <w:sz w:val="24"/>
          <w:szCs w:val="24"/>
        </w:rPr>
        <w:t>，以抽签方式确定谈判顺序。</w:t>
      </w:r>
    </w:p>
    <w:p>
      <w:pPr>
        <w:kinsoku/>
        <w:overflowPunct/>
        <w:topLinePunct w:val="0"/>
        <w:bidi w:val="0"/>
        <w:snapToGrid w:val="0"/>
        <w:spacing w:line="560" w:lineRule="exact"/>
        <w:ind w:firstLine="260" w:firstLineChars="100"/>
        <w:rPr>
          <w:rFonts w:ascii="宋体" w:hAnsi="宋体"/>
          <w:sz w:val="24"/>
          <w:szCs w:val="24"/>
        </w:rPr>
      </w:pPr>
      <w:bookmarkStart w:id="183" w:name="_Toc222556815"/>
      <w:bookmarkStart w:id="184" w:name="_Toc128798480"/>
      <w:bookmarkStart w:id="185" w:name="_Toc128798590"/>
      <w:bookmarkStart w:id="186" w:name="_Toc124734975"/>
      <w:bookmarkStart w:id="187" w:name="_Toc124576325"/>
      <w:r>
        <w:rPr>
          <w:rFonts w:hint="eastAsia" w:ascii="宋体" w:hAnsi="宋体"/>
          <w:spacing w:val="10"/>
          <w:sz w:val="24"/>
          <w:szCs w:val="24"/>
        </w:rPr>
        <w:t>（</w:t>
      </w:r>
      <w:r>
        <w:rPr>
          <w:rFonts w:ascii="宋体" w:hAnsi="宋体"/>
          <w:spacing w:val="10"/>
          <w:sz w:val="24"/>
          <w:szCs w:val="24"/>
        </w:rPr>
        <w:t>3</w:t>
      </w:r>
      <w:r>
        <w:rPr>
          <w:rFonts w:hint="eastAsia" w:ascii="宋体" w:hAnsi="宋体"/>
          <w:spacing w:val="10"/>
          <w:sz w:val="24"/>
          <w:szCs w:val="24"/>
        </w:rPr>
        <w:t>）</w:t>
      </w:r>
      <w:r>
        <w:rPr>
          <w:rFonts w:hint="eastAsia" w:ascii="宋体" w:hAnsi="宋体"/>
          <w:sz w:val="24"/>
          <w:szCs w:val="24"/>
          <w:lang w:eastAsia="zh-CN"/>
        </w:rPr>
        <w:t>第一轮谈判</w:t>
      </w:r>
      <w:bookmarkEnd w:id="183"/>
      <w:r>
        <w:rPr>
          <w:rFonts w:hint="eastAsia" w:ascii="宋体" w:hAnsi="宋体"/>
          <w:sz w:val="24"/>
          <w:szCs w:val="24"/>
          <w:lang w:eastAsia="zh-CN"/>
        </w:rPr>
        <w:t>（二次报</w:t>
      </w:r>
      <w:r>
        <w:rPr>
          <w:rFonts w:hint="eastAsia" w:ascii="宋体" w:hAnsi="宋体"/>
          <w:sz w:val="24"/>
          <w:szCs w:val="24"/>
        </w:rPr>
        <w:t>价）</w:t>
      </w:r>
    </w:p>
    <w:bookmarkEnd w:id="184"/>
    <w:bookmarkEnd w:id="185"/>
    <w:bookmarkEnd w:id="186"/>
    <w:bookmarkEnd w:id="187"/>
    <w:p>
      <w:pPr>
        <w:widowControl/>
        <w:kinsoku/>
        <w:overflowPunct/>
        <w:topLinePunct w:val="0"/>
        <w:autoSpaceDE w:val="0"/>
        <w:autoSpaceDN w:val="0"/>
        <w:bidi w:val="0"/>
        <w:spacing w:line="560" w:lineRule="exact"/>
        <w:ind w:right="53" w:firstLine="480" w:firstLineChars="200"/>
        <w:textAlignment w:val="bottom"/>
        <w:rPr>
          <w:rFonts w:ascii="宋体" w:hAnsi="宋体"/>
          <w:sz w:val="24"/>
          <w:szCs w:val="24"/>
        </w:rPr>
      </w:pPr>
      <w:bookmarkStart w:id="188" w:name="_Toc113259749"/>
      <w:bookmarkStart w:id="189" w:name="_Toc124734978"/>
      <w:bookmarkStart w:id="190" w:name="_Toc128798593"/>
      <w:bookmarkStart w:id="191" w:name="_Toc124576328"/>
      <w:bookmarkStart w:id="192" w:name="_Toc222556817"/>
      <w:bookmarkStart w:id="193" w:name="_Toc128798483"/>
      <w:r>
        <w:rPr>
          <w:rFonts w:hint="eastAsia" w:ascii="宋体" w:hAnsi="宋体"/>
          <w:sz w:val="24"/>
          <w:szCs w:val="24"/>
        </w:rPr>
        <w:t>合格的响应人就该项目的实施方案做出陈述，对项目做出二次报价</w:t>
      </w:r>
      <w:r>
        <w:rPr>
          <w:rFonts w:hint="eastAsia" w:ascii="宋体" w:hAnsi="宋体"/>
          <w:sz w:val="24"/>
          <w:szCs w:val="24"/>
          <w:lang w:eastAsia="zh-CN"/>
        </w:rPr>
        <w:t>。二次</w:t>
      </w:r>
      <w:r>
        <w:rPr>
          <w:rFonts w:hint="eastAsia" w:ascii="宋体" w:hAnsi="宋体"/>
          <w:sz w:val="24"/>
          <w:szCs w:val="24"/>
        </w:rPr>
        <w:t>报价作为最终报价。</w:t>
      </w:r>
    </w:p>
    <w:bookmarkEnd w:id="188"/>
    <w:bookmarkEnd w:id="189"/>
    <w:bookmarkEnd w:id="190"/>
    <w:bookmarkEnd w:id="191"/>
    <w:bookmarkEnd w:id="192"/>
    <w:bookmarkEnd w:id="193"/>
    <w:p>
      <w:pPr>
        <w:widowControl/>
        <w:kinsoku/>
        <w:overflowPunct/>
        <w:topLinePunct w:val="0"/>
        <w:autoSpaceDE w:val="0"/>
        <w:autoSpaceDN w:val="0"/>
        <w:bidi w:val="0"/>
        <w:spacing w:line="560" w:lineRule="exact"/>
        <w:ind w:right="53"/>
        <w:textAlignment w:val="bottom"/>
        <w:rPr>
          <w:rFonts w:ascii="宋体" w:hAnsi="宋体"/>
          <w:sz w:val="24"/>
          <w:szCs w:val="24"/>
        </w:rPr>
      </w:pPr>
      <w:r>
        <w:rPr>
          <w:rFonts w:hint="eastAsia" w:ascii="宋体" w:hAnsi="宋体"/>
          <w:sz w:val="24"/>
          <w:szCs w:val="24"/>
        </w:rPr>
        <w:t>响应人</w:t>
      </w:r>
      <w:r>
        <w:rPr>
          <w:rFonts w:ascii="宋体" w:hAnsi="宋体"/>
          <w:sz w:val="24"/>
          <w:szCs w:val="24"/>
        </w:rPr>
        <w:t>在谈判过程中所签署的书面的澄清或者说明、最终报价均为报价文件的组成部</w:t>
      </w:r>
      <w:r>
        <w:rPr>
          <w:rFonts w:hint="eastAsia" w:ascii="宋体" w:hAnsi="宋体"/>
          <w:sz w:val="24"/>
          <w:szCs w:val="24"/>
        </w:rPr>
        <w:t>分</w:t>
      </w:r>
      <w:r>
        <w:rPr>
          <w:rFonts w:ascii="宋体" w:hAnsi="宋体"/>
          <w:sz w:val="24"/>
          <w:szCs w:val="24"/>
        </w:rPr>
        <w:t>。</w:t>
      </w:r>
    </w:p>
    <w:p>
      <w:pPr>
        <w:pStyle w:val="5"/>
        <w:kinsoku/>
        <w:overflowPunct/>
        <w:topLinePunct w:val="0"/>
        <w:bidi w:val="0"/>
        <w:spacing w:line="560" w:lineRule="exact"/>
        <w:jc w:val="center"/>
        <w:rPr>
          <w:rFonts w:ascii="宋体" w:hAnsi="宋体" w:eastAsia="宋体" w:cs="宋体"/>
          <w:sz w:val="32"/>
          <w:szCs w:val="32"/>
        </w:rPr>
      </w:pPr>
      <w:bookmarkStart w:id="194" w:name="_Toc325464840"/>
      <w:r>
        <w:rPr>
          <w:rFonts w:hint="eastAsia" w:ascii="宋体" w:hAnsi="宋体" w:eastAsia="宋体" w:cs="宋体"/>
          <w:sz w:val="32"/>
          <w:szCs w:val="32"/>
        </w:rPr>
        <w:t>五、定标</w:t>
      </w:r>
      <w:bookmarkEnd w:id="177"/>
      <w:bookmarkEnd w:id="194"/>
      <w:bookmarkStart w:id="195" w:name="_Toc217446061"/>
    </w:p>
    <w:p>
      <w:pPr>
        <w:pStyle w:val="6"/>
        <w:kinsoku/>
        <w:overflowPunct/>
        <w:topLinePunct w:val="0"/>
        <w:bidi w:val="0"/>
        <w:spacing w:line="560" w:lineRule="exact"/>
        <w:rPr>
          <w:rFonts w:ascii="宋体" w:hAnsi="宋体" w:cs="宋体"/>
          <w:sz w:val="28"/>
          <w:szCs w:val="28"/>
        </w:rPr>
      </w:pPr>
      <w:bookmarkStart w:id="196" w:name="_Toc325096492"/>
      <w:bookmarkStart w:id="197" w:name="_Toc317509410"/>
      <w:bookmarkStart w:id="198" w:name="_Toc325464841"/>
      <w:bookmarkStart w:id="199" w:name="_Toc317509257"/>
      <w:r>
        <w:rPr>
          <w:rFonts w:hint="eastAsia" w:ascii="宋体" w:hAnsi="宋体" w:cs="宋体"/>
          <w:sz w:val="28"/>
          <w:szCs w:val="28"/>
        </w:rPr>
        <w:t>21. 定标原则</w:t>
      </w:r>
      <w:bookmarkEnd w:id="195"/>
      <w:bookmarkEnd w:id="196"/>
      <w:bookmarkEnd w:id="197"/>
      <w:bookmarkEnd w:id="198"/>
      <w:bookmarkEnd w:id="199"/>
    </w:p>
    <w:p>
      <w:pPr>
        <w:pStyle w:val="7"/>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21.1根据谈判小组推荐的成交候选人名单，按顺序确定成交人。</w:t>
      </w:r>
    </w:p>
    <w:p>
      <w:pPr>
        <w:pStyle w:val="6"/>
        <w:kinsoku/>
        <w:overflowPunct/>
        <w:topLinePunct w:val="0"/>
        <w:bidi w:val="0"/>
        <w:spacing w:line="560" w:lineRule="exact"/>
        <w:rPr>
          <w:rFonts w:ascii="宋体" w:hAnsi="宋体" w:cs="宋体"/>
          <w:sz w:val="28"/>
          <w:szCs w:val="28"/>
        </w:rPr>
      </w:pPr>
      <w:bookmarkStart w:id="200" w:name="_Toc317509258"/>
      <w:bookmarkStart w:id="201" w:name="_Toc325096493"/>
      <w:bookmarkStart w:id="202" w:name="_Toc325464842"/>
      <w:bookmarkStart w:id="203" w:name="_Toc217446062"/>
      <w:bookmarkStart w:id="204" w:name="_Toc317509411"/>
      <w:r>
        <w:rPr>
          <w:rFonts w:hint="eastAsia" w:ascii="宋体" w:hAnsi="宋体" w:cs="宋体"/>
          <w:sz w:val="28"/>
          <w:szCs w:val="28"/>
        </w:rPr>
        <w:t>22. 定标程序</w:t>
      </w:r>
      <w:bookmarkEnd w:id="200"/>
      <w:bookmarkEnd w:id="201"/>
      <w:bookmarkEnd w:id="202"/>
      <w:bookmarkEnd w:id="203"/>
      <w:bookmarkEnd w:id="204"/>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22.1 谈判小组将谈判情况写出书面报告，推荐成交候选人，并标明排列顺序。</w:t>
      </w:r>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22.</w:t>
      </w:r>
      <w:r>
        <w:rPr>
          <w:rFonts w:ascii="宋体" w:hAnsi="宋体" w:cs="宋体"/>
          <w:sz w:val="24"/>
        </w:rPr>
        <w:t>2</w:t>
      </w:r>
      <w:r>
        <w:rPr>
          <w:rFonts w:hint="eastAsia" w:ascii="宋体" w:hAnsi="宋体" w:cs="宋体"/>
          <w:sz w:val="24"/>
        </w:rPr>
        <w:t xml:space="preserve"> 采购人在收到谈判报告后五个工作日内，按照谈判报告中推荐的成交候选人顺序确定成交人。</w:t>
      </w:r>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采购人将成交结果通知参加竞争性谈判的所有企业。采购人不解释成交或落选原因，不退回响应文件和其他谈判资料。</w:t>
      </w:r>
    </w:p>
    <w:p>
      <w:pPr>
        <w:pStyle w:val="6"/>
        <w:kinsoku/>
        <w:overflowPunct/>
        <w:topLinePunct w:val="0"/>
        <w:bidi w:val="0"/>
        <w:spacing w:line="560" w:lineRule="exact"/>
        <w:rPr>
          <w:rFonts w:ascii="宋体" w:hAnsi="宋体" w:cs="宋体"/>
          <w:sz w:val="28"/>
          <w:szCs w:val="28"/>
        </w:rPr>
      </w:pPr>
      <w:bookmarkStart w:id="205" w:name="_Toc183682375"/>
      <w:bookmarkStart w:id="206" w:name="_Toc183582238"/>
      <w:bookmarkStart w:id="207" w:name="_Toc217446063"/>
      <w:bookmarkStart w:id="208" w:name="_Toc317509259"/>
      <w:bookmarkStart w:id="209" w:name="_Toc325464843"/>
      <w:bookmarkStart w:id="210" w:name="_Toc317509412"/>
      <w:bookmarkStart w:id="211" w:name="_Toc325096494"/>
      <w:r>
        <w:rPr>
          <w:rFonts w:hint="eastAsia" w:ascii="宋体" w:hAnsi="宋体" w:cs="宋体"/>
          <w:sz w:val="28"/>
          <w:szCs w:val="28"/>
        </w:rPr>
        <w:t>23．成交通知</w:t>
      </w:r>
      <w:bookmarkEnd w:id="205"/>
      <w:bookmarkEnd w:id="206"/>
      <w:r>
        <w:rPr>
          <w:rFonts w:hint="eastAsia" w:ascii="宋体" w:hAnsi="宋体" w:cs="宋体"/>
          <w:sz w:val="28"/>
          <w:szCs w:val="28"/>
        </w:rPr>
        <w:t>书</w:t>
      </w:r>
      <w:bookmarkEnd w:id="207"/>
      <w:bookmarkEnd w:id="208"/>
      <w:bookmarkEnd w:id="209"/>
      <w:bookmarkEnd w:id="210"/>
      <w:bookmarkEnd w:id="211"/>
    </w:p>
    <w:p>
      <w:pPr>
        <w:tabs>
          <w:tab w:val="left" w:pos="766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23.1 成交通知书为签订采购合同的依据，是合同的有效组成部分。</w:t>
      </w:r>
    </w:p>
    <w:p>
      <w:pPr>
        <w:tabs>
          <w:tab w:val="left" w:pos="766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23.2 成交通知书对采购人和成交人均具有法律效力。成交通知书发出后，采购人改变成交结果，或者成交人无正当理由放弃成交的，应当承担相应的法律责任。</w:t>
      </w:r>
    </w:p>
    <w:p>
      <w:pPr>
        <w:tabs>
          <w:tab w:val="left" w:pos="7665"/>
        </w:tabs>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23.3成交人的响应文件本应作为无效谈判处理或者有法律法规规章制度规定的成交无效情形的，采购人在取得有权主体的认定以后，应当宣布发出的成交通知书无效，并收回发出的成交通知书(成交人也应当缴回)，依法重新确定成交人或者重新开展采购活动。</w:t>
      </w:r>
    </w:p>
    <w:p>
      <w:pPr>
        <w:pStyle w:val="5"/>
        <w:kinsoku/>
        <w:overflowPunct/>
        <w:topLinePunct w:val="0"/>
        <w:bidi w:val="0"/>
        <w:spacing w:line="560" w:lineRule="exact"/>
        <w:jc w:val="center"/>
        <w:rPr>
          <w:rFonts w:ascii="宋体" w:hAnsi="宋体" w:eastAsia="宋体" w:cs="宋体"/>
          <w:sz w:val="32"/>
          <w:szCs w:val="32"/>
        </w:rPr>
      </w:pPr>
      <w:bookmarkStart w:id="212" w:name="_Toc325464844"/>
      <w:bookmarkStart w:id="213" w:name="_Toc217446064"/>
      <w:bookmarkStart w:id="214" w:name="_Toc183682377"/>
      <w:bookmarkStart w:id="215" w:name="_Toc183582240"/>
      <w:r>
        <w:rPr>
          <w:rFonts w:hint="eastAsia" w:ascii="宋体" w:hAnsi="宋体" w:eastAsia="宋体" w:cs="宋体"/>
          <w:sz w:val="32"/>
          <w:szCs w:val="32"/>
        </w:rPr>
        <w:t>六、签订及履行合同和验收</w:t>
      </w:r>
      <w:bookmarkEnd w:id="212"/>
      <w:bookmarkEnd w:id="213"/>
    </w:p>
    <w:p>
      <w:pPr>
        <w:pStyle w:val="6"/>
        <w:kinsoku/>
        <w:overflowPunct/>
        <w:topLinePunct w:val="0"/>
        <w:bidi w:val="0"/>
        <w:spacing w:line="560" w:lineRule="exact"/>
        <w:rPr>
          <w:rFonts w:ascii="宋体" w:hAnsi="宋体" w:cs="宋体"/>
          <w:sz w:val="28"/>
          <w:szCs w:val="28"/>
        </w:rPr>
      </w:pPr>
      <w:bookmarkStart w:id="216" w:name="_Toc317509414"/>
      <w:bookmarkStart w:id="217" w:name="_Toc217446065"/>
      <w:bookmarkStart w:id="218" w:name="_Toc317509261"/>
      <w:bookmarkStart w:id="219" w:name="_Toc325096496"/>
      <w:bookmarkStart w:id="220" w:name="_Toc325464845"/>
      <w:r>
        <w:rPr>
          <w:rFonts w:hint="eastAsia" w:ascii="宋体" w:hAnsi="宋体" w:cs="宋体"/>
          <w:sz w:val="28"/>
          <w:szCs w:val="28"/>
        </w:rPr>
        <w:t>24. 签订合同</w:t>
      </w:r>
      <w:bookmarkEnd w:id="216"/>
      <w:bookmarkEnd w:id="217"/>
      <w:bookmarkEnd w:id="218"/>
      <w:bookmarkEnd w:id="219"/>
      <w:bookmarkEnd w:id="220"/>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24.1 成交人在收到采购人发出的成交通知书后，应自成交通知书发出之日起30日内与采购人签订采购合同。由于成交人的原因逾期未与采购人签订采购合同的，将视为放弃成交，取消其成交资格并将按相关规定进行处理。</w:t>
      </w:r>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24.2 采购人不得向成交人提出任何不合理的要求，作为签订合同的条件，不得与成交人私下订立背离合同实质性内容的任何协议，所签订的合同不得对竞争性谈判文件和成交人谈判文件作实质性修改。</w:t>
      </w:r>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24.3 成交人因不可抗力原因不能履行采购合同或放弃成交的，采购人可以与排在成交人之后第一位的成交候选人签订采购合同，以此类推。</w:t>
      </w:r>
    </w:p>
    <w:p>
      <w:pPr>
        <w:pStyle w:val="6"/>
        <w:kinsoku/>
        <w:overflowPunct/>
        <w:topLinePunct w:val="0"/>
        <w:bidi w:val="0"/>
        <w:spacing w:line="560" w:lineRule="exact"/>
        <w:rPr>
          <w:rFonts w:ascii="宋体" w:hAnsi="宋体" w:cs="宋体"/>
          <w:sz w:val="28"/>
          <w:szCs w:val="28"/>
        </w:rPr>
      </w:pPr>
      <w:bookmarkStart w:id="221" w:name="_Toc317509417"/>
      <w:bookmarkStart w:id="222" w:name="_Toc325096498"/>
      <w:bookmarkStart w:id="223" w:name="_Toc217446069"/>
      <w:bookmarkStart w:id="224" w:name="_Toc317509264"/>
      <w:bookmarkStart w:id="225" w:name="_Toc325464847"/>
      <w:r>
        <w:rPr>
          <w:rFonts w:hint="eastAsia" w:ascii="宋体" w:hAnsi="宋体" w:cs="宋体"/>
          <w:sz w:val="28"/>
          <w:szCs w:val="28"/>
        </w:rPr>
        <w:t>25. 履行合同</w:t>
      </w:r>
      <w:bookmarkEnd w:id="221"/>
      <w:bookmarkEnd w:id="222"/>
      <w:bookmarkEnd w:id="223"/>
      <w:bookmarkEnd w:id="224"/>
      <w:bookmarkEnd w:id="225"/>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25.1 成交人与采购人签订合同后，合同双方应严格执行合同条款，履行合同规定的义务，保证合同的顺利完成。</w:t>
      </w:r>
    </w:p>
    <w:p>
      <w:pPr>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25.2 在合同履行过程中，如发生合同纠纷，合同双方应按照《合同法》的有关规定进行处理。</w:t>
      </w:r>
    </w:p>
    <w:p>
      <w:pPr>
        <w:pStyle w:val="6"/>
        <w:kinsoku/>
        <w:overflowPunct/>
        <w:topLinePunct w:val="0"/>
        <w:bidi w:val="0"/>
        <w:spacing w:line="560" w:lineRule="exact"/>
        <w:rPr>
          <w:rFonts w:ascii="宋体" w:hAnsi="宋体" w:cs="宋体"/>
          <w:sz w:val="28"/>
          <w:szCs w:val="28"/>
        </w:rPr>
      </w:pPr>
      <w:bookmarkStart w:id="226" w:name="_Toc325464848"/>
      <w:bookmarkStart w:id="227" w:name="_Toc317509265"/>
      <w:bookmarkStart w:id="228" w:name="_Toc217446070"/>
      <w:bookmarkStart w:id="229" w:name="_Toc325096499"/>
      <w:bookmarkStart w:id="230" w:name="_Toc317509418"/>
      <w:r>
        <w:rPr>
          <w:rFonts w:hint="eastAsia" w:ascii="宋体" w:hAnsi="宋体" w:cs="宋体"/>
          <w:sz w:val="28"/>
          <w:szCs w:val="28"/>
        </w:rPr>
        <w:t xml:space="preserve">26. </w:t>
      </w:r>
      <w:bookmarkEnd w:id="226"/>
      <w:bookmarkEnd w:id="227"/>
      <w:bookmarkEnd w:id="228"/>
      <w:bookmarkEnd w:id="229"/>
      <w:bookmarkEnd w:id="230"/>
      <w:r>
        <w:rPr>
          <w:rFonts w:hint="eastAsia" w:ascii="宋体" w:hAnsi="宋体" w:cs="宋体"/>
          <w:sz w:val="28"/>
          <w:szCs w:val="28"/>
        </w:rPr>
        <w:t>履约保证金</w:t>
      </w:r>
    </w:p>
    <w:p>
      <w:pPr>
        <w:kinsoku/>
        <w:overflowPunct/>
        <w:topLinePunct w:val="0"/>
        <w:bidi w:val="0"/>
        <w:spacing w:line="560" w:lineRule="exact"/>
        <w:ind w:firstLine="480" w:firstLineChars="200"/>
        <w:rPr>
          <w:rFonts w:ascii="宋体" w:hAnsi="宋体" w:cs="宋体"/>
          <w:sz w:val="24"/>
        </w:rPr>
      </w:pPr>
      <w:bookmarkStart w:id="231" w:name="_Toc325464849"/>
      <w:bookmarkStart w:id="232" w:name="_Toc217446071"/>
      <w:r>
        <w:rPr>
          <w:rFonts w:hint="eastAsia" w:ascii="宋体" w:hAnsi="宋体" w:cs="宋体"/>
          <w:sz w:val="24"/>
        </w:rPr>
        <w:t>26.1履约保证金金额：</w:t>
      </w:r>
      <w:r>
        <w:rPr>
          <w:rFonts w:hint="eastAsia" w:ascii="宋体" w:hAnsi="宋体" w:cs="宋体"/>
          <w:sz w:val="24"/>
          <w:u w:val="single"/>
        </w:rPr>
        <w:t xml:space="preserve"> </w:t>
      </w:r>
      <w:r>
        <w:rPr>
          <w:rFonts w:hint="eastAsia" w:ascii="宋体" w:hAnsi="宋体" w:cs="宋体"/>
          <w:sz w:val="24"/>
          <w:u w:val="single"/>
          <w:lang w:val="en-US" w:eastAsia="zh-CN"/>
        </w:rPr>
        <w:t>0</w:t>
      </w:r>
      <w:r>
        <w:rPr>
          <w:rFonts w:hint="eastAsia" w:ascii="宋体" w:hAnsi="宋体" w:cs="宋体"/>
          <w:sz w:val="24"/>
          <w:u w:val="single"/>
        </w:rPr>
        <w:t xml:space="preserve"> </w:t>
      </w:r>
      <w:r>
        <w:rPr>
          <w:rFonts w:hint="eastAsia" w:ascii="宋体" w:hAnsi="宋体" w:cs="宋体"/>
          <w:sz w:val="24"/>
        </w:rPr>
        <w:t>%。</w:t>
      </w:r>
    </w:p>
    <w:p>
      <w:pPr>
        <w:pStyle w:val="5"/>
        <w:kinsoku/>
        <w:overflowPunct/>
        <w:topLinePunct w:val="0"/>
        <w:bidi w:val="0"/>
        <w:spacing w:line="560" w:lineRule="exact"/>
        <w:jc w:val="center"/>
        <w:rPr>
          <w:rFonts w:ascii="宋体" w:hAnsi="宋体" w:eastAsia="宋体" w:cs="宋体"/>
          <w:sz w:val="32"/>
          <w:szCs w:val="32"/>
        </w:rPr>
      </w:pPr>
      <w:r>
        <w:rPr>
          <w:rFonts w:hint="eastAsia" w:ascii="宋体" w:hAnsi="宋体" w:eastAsia="宋体" w:cs="宋体"/>
          <w:sz w:val="32"/>
          <w:szCs w:val="32"/>
        </w:rPr>
        <w:t>七、废 标</w:t>
      </w:r>
      <w:bookmarkEnd w:id="231"/>
      <w:bookmarkEnd w:id="232"/>
    </w:p>
    <w:bookmarkEnd w:id="214"/>
    <w:bookmarkEnd w:id="215"/>
    <w:p>
      <w:pPr>
        <w:pStyle w:val="6"/>
        <w:kinsoku/>
        <w:overflowPunct/>
        <w:topLinePunct w:val="0"/>
        <w:bidi w:val="0"/>
        <w:spacing w:line="560" w:lineRule="exact"/>
        <w:rPr>
          <w:rFonts w:ascii="宋体" w:hAnsi="宋体" w:cs="宋体"/>
          <w:sz w:val="28"/>
          <w:szCs w:val="28"/>
        </w:rPr>
      </w:pPr>
      <w:bookmarkStart w:id="233" w:name="_Toc317509267"/>
      <w:bookmarkStart w:id="234" w:name="_Toc217446072"/>
      <w:bookmarkStart w:id="235" w:name="_Toc325464850"/>
      <w:bookmarkStart w:id="236" w:name="_Toc325096501"/>
      <w:bookmarkStart w:id="237" w:name="_Toc317509420"/>
      <w:bookmarkStart w:id="238" w:name="_Toc183582243"/>
      <w:bookmarkStart w:id="239" w:name="_Toc183682380"/>
      <w:r>
        <w:rPr>
          <w:rFonts w:hint="eastAsia" w:ascii="宋体" w:hAnsi="宋体" w:cs="宋体"/>
          <w:sz w:val="28"/>
          <w:szCs w:val="28"/>
        </w:rPr>
        <w:t>27. 废标的情形</w:t>
      </w:r>
      <w:bookmarkEnd w:id="233"/>
      <w:bookmarkEnd w:id="234"/>
      <w:bookmarkEnd w:id="235"/>
      <w:bookmarkEnd w:id="236"/>
      <w:bookmarkEnd w:id="237"/>
    </w:p>
    <w:p>
      <w:pPr>
        <w:pStyle w:val="7"/>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27.1竞争性谈判采购中，出现下列情形之一的，予以废标：</w:t>
      </w:r>
    </w:p>
    <w:p>
      <w:pPr>
        <w:kinsoku/>
        <w:overflowPunct/>
        <w:topLinePunct w:val="0"/>
        <w:bidi w:val="0"/>
        <w:snapToGrid w:val="0"/>
        <w:spacing w:line="560" w:lineRule="exact"/>
        <w:ind w:firstLine="260" w:firstLineChars="100"/>
        <w:rPr>
          <w:rFonts w:ascii="宋体" w:hAnsi="宋体" w:cs="宋体"/>
          <w:sz w:val="24"/>
        </w:rPr>
      </w:pPr>
      <w:r>
        <w:rPr>
          <w:rFonts w:hint="eastAsia" w:ascii="宋体" w:hAnsi="宋体"/>
          <w:spacing w:val="10"/>
          <w:sz w:val="24"/>
          <w:szCs w:val="24"/>
        </w:rPr>
        <w:t>（1）</w:t>
      </w:r>
      <w:r>
        <w:rPr>
          <w:rFonts w:hint="eastAsia" w:ascii="宋体" w:hAnsi="宋体" w:cs="宋体"/>
          <w:sz w:val="24"/>
        </w:rPr>
        <w:t>出现影响采购公正的违法、违规行为的；</w:t>
      </w:r>
    </w:p>
    <w:p>
      <w:pPr>
        <w:kinsoku/>
        <w:overflowPunct/>
        <w:topLinePunct w:val="0"/>
        <w:bidi w:val="0"/>
        <w:snapToGrid w:val="0"/>
        <w:spacing w:line="560" w:lineRule="exact"/>
        <w:ind w:firstLine="260" w:firstLineChars="100"/>
        <w:rPr>
          <w:rFonts w:ascii="宋体" w:hAnsi="宋体"/>
          <w:spacing w:val="10"/>
          <w:sz w:val="24"/>
          <w:szCs w:val="24"/>
        </w:rPr>
      </w:pPr>
      <w:r>
        <w:rPr>
          <w:rFonts w:hint="eastAsia" w:ascii="宋体" w:hAnsi="宋体"/>
          <w:spacing w:val="10"/>
          <w:sz w:val="24"/>
          <w:szCs w:val="24"/>
        </w:rPr>
        <w:t>（</w:t>
      </w:r>
      <w:r>
        <w:rPr>
          <w:rFonts w:ascii="宋体" w:hAnsi="宋体"/>
          <w:spacing w:val="10"/>
          <w:sz w:val="24"/>
          <w:szCs w:val="24"/>
        </w:rPr>
        <w:t>2</w:t>
      </w:r>
      <w:r>
        <w:rPr>
          <w:rFonts w:hint="eastAsia" w:ascii="宋体" w:hAnsi="宋体"/>
          <w:spacing w:val="10"/>
          <w:sz w:val="24"/>
          <w:szCs w:val="24"/>
        </w:rPr>
        <w:t>）响应人的报价均超过了</w:t>
      </w:r>
      <w:r>
        <w:rPr>
          <w:rFonts w:hint="eastAsia" w:ascii="宋体" w:hAnsi="宋体" w:cs="宋体"/>
          <w:sz w:val="24"/>
          <w:szCs w:val="22"/>
          <w:lang w:eastAsia="zh-CN"/>
        </w:rPr>
        <w:t>最高限价</w:t>
      </w:r>
      <w:r>
        <w:rPr>
          <w:rFonts w:hint="eastAsia" w:ascii="宋体" w:hAnsi="宋体" w:cs="宋体"/>
          <w:sz w:val="24"/>
          <w:szCs w:val="22"/>
        </w:rPr>
        <w:t>；</w:t>
      </w:r>
    </w:p>
    <w:p>
      <w:pPr>
        <w:kinsoku/>
        <w:overflowPunct/>
        <w:topLinePunct w:val="0"/>
        <w:bidi w:val="0"/>
        <w:snapToGrid w:val="0"/>
        <w:spacing w:line="560" w:lineRule="exact"/>
        <w:ind w:firstLine="260" w:firstLineChars="100"/>
        <w:rPr>
          <w:rFonts w:ascii="宋体" w:hAnsi="宋体"/>
          <w:spacing w:val="10"/>
          <w:sz w:val="24"/>
          <w:szCs w:val="24"/>
        </w:rPr>
      </w:pPr>
      <w:r>
        <w:rPr>
          <w:rFonts w:hint="eastAsia" w:ascii="宋体" w:hAnsi="宋体"/>
          <w:spacing w:val="10"/>
          <w:sz w:val="24"/>
          <w:szCs w:val="24"/>
        </w:rPr>
        <w:t>（</w:t>
      </w:r>
      <w:r>
        <w:rPr>
          <w:rFonts w:ascii="宋体" w:hAnsi="宋体"/>
          <w:spacing w:val="10"/>
          <w:sz w:val="24"/>
          <w:szCs w:val="24"/>
        </w:rPr>
        <w:t>3</w:t>
      </w:r>
      <w:r>
        <w:rPr>
          <w:rFonts w:hint="eastAsia" w:ascii="宋体" w:hAnsi="宋体"/>
          <w:spacing w:val="10"/>
          <w:sz w:val="24"/>
          <w:szCs w:val="24"/>
        </w:rPr>
        <w:t>）因重大变故，采购任务取消的；</w:t>
      </w:r>
    </w:p>
    <w:p>
      <w:pPr>
        <w:kinsoku/>
        <w:overflowPunct/>
        <w:topLinePunct w:val="0"/>
        <w:bidi w:val="0"/>
        <w:snapToGrid w:val="0"/>
        <w:spacing w:line="560" w:lineRule="exact"/>
        <w:ind w:firstLine="260" w:firstLineChars="100"/>
        <w:rPr>
          <w:rFonts w:hint="eastAsia" w:ascii="宋体" w:hAnsi="宋体" w:cs="宋体"/>
          <w:sz w:val="24"/>
        </w:rPr>
      </w:pPr>
      <w:r>
        <w:rPr>
          <w:rFonts w:hint="eastAsia" w:ascii="宋体" w:hAnsi="宋体"/>
          <w:spacing w:val="10"/>
          <w:sz w:val="24"/>
          <w:szCs w:val="24"/>
        </w:rPr>
        <w:t>（</w:t>
      </w:r>
      <w:r>
        <w:rPr>
          <w:rFonts w:ascii="宋体" w:hAnsi="宋体"/>
          <w:spacing w:val="10"/>
          <w:sz w:val="24"/>
          <w:szCs w:val="24"/>
        </w:rPr>
        <w:t>4</w:t>
      </w:r>
      <w:r>
        <w:rPr>
          <w:rFonts w:hint="eastAsia" w:ascii="宋体" w:hAnsi="宋体"/>
          <w:spacing w:val="10"/>
          <w:sz w:val="24"/>
          <w:szCs w:val="24"/>
        </w:rPr>
        <w:t>）其</w:t>
      </w:r>
      <w:r>
        <w:rPr>
          <w:rFonts w:hint="eastAsia" w:ascii="宋体" w:hAnsi="宋体" w:cs="宋体"/>
          <w:sz w:val="24"/>
        </w:rPr>
        <w:t>他未实质性响应竞谈文件的。</w:t>
      </w:r>
    </w:p>
    <w:p>
      <w:pPr>
        <w:pStyle w:val="5"/>
        <w:kinsoku/>
        <w:overflowPunct/>
        <w:topLinePunct w:val="0"/>
        <w:bidi w:val="0"/>
        <w:spacing w:line="560" w:lineRule="exact"/>
        <w:jc w:val="center"/>
        <w:rPr>
          <w:rFonts w:ascii="宋体" w:hAnsi="宋体" w:eastAsia="宋体" w:cs="宋体"/>
          <w:sz w:val="32"/>
          <w:szCs w:val="32"/>
        </w:rPr>
      </w:pPr>
      <w:bookmarkStart w:id="240" w:name="_Toc217446074"/>
      <w:bookmarkStart w:id="241" w:name="_Toc325464851"/>
      <w:bookmarkStart w:id="242" w:name="_Toc317509268"/>
      <w:r>
        <w:rPr>
          <w:rFonts w:hint="eastAsia" w:ascii="宋体" w:hAnsi="宋体" w:eastAsia="宋体" w:cs="宋体"/>
          <w:sz w:val="32"/>
          <w:szCs w:val="32"/>
        </w:rPr>
        <w:t>八、谈判纪律要求</w:t>
      </w:r>
      <w:bookmarkEnd w:id="240"/>
      <w:bookmarkEnd w:id="241"/>
      <w:bookmarkEnd w:id="242"/>
    </w:p>
    <w:p>
      <w:pPr>
        <w:pStyle w:val="6"/>
        <w:keepNext w:val="0"/>
        <w:keepLines w:val="0"/>
        <w:kinsoku/>
        <w:overflowPunct/>
        <w:topLinePunct w:val="0"/>
        <w:bidi w:val="0"/>
        <w:spacing w:line="560" w:lineRule="exact"/>
        <w:rPr>
          <w:rFonts w:ascii="宋体" w:hAnsi="宋体" w:cs="宋体"/>
          <w:sz w:val="28"/>
          <w:szCs w:val="28"/>
        </w:rPr>
      </w:pPr>
      <w:bookmarkStart w:id="243" w:name="_Toc325096503"/>
      <w:bookmarkStart w:id="244" w:name="_Toc325464852"/>
      <w:bookmarkStart w:id="245" w:name="_Toc317509422"/>
      <w:bookmarkStart w:id="246" w:name="_Toc217446075"/>
      <w:bookmarkStart w:id="247" w:name="_Toc317509269"/>
      <w:r>
        <w:rPr>
          <w:rFonts w:hint="eastAsia" w:ascii="宋体" w:hAnsi="宋体" w:cs="宋体"/>
          <w:sz w:val="28"/>
          <w:szCs w:val="28"/>
        </w:rPr>
        <w:t>28. 响应人不得具有的情形</w:t>
      </w:r>
      <w:bookmarkEnd w:id="243"/>
      <w:bookmarkEnd w:id="244"/>
      <w:bookmarkEnd w:id="245"/>
      <w:bookmarkEnd w:id="246"/>
      <w:bookmarkEnd w:id="247"/>
    </w:p>
    <w:p>
      <w:pPr>
        <w:pStyle w:val="7"/>
        <w:kinsoku/>
        <w:overflowPunct/>
        <w:topLinePunct w:val="0"/>
        <w:bidi w:val="0"/>
        <w:spacing w:line="560" w:lineRule="exact"/>
        <w:ind w:firstLine="480" w:firstLineChars="200"/>
        <w:rPr>
          <w:rFonts w:ascii="宋体" w:hAnsi="宋体" w:cs="宋体"/>
          <w:sz w:val="24"/>
        </w:rPr>
      </w:pPr>
      <w:r>
        <w:rPr>
          <w:rFonts w:hint="eastAsia" w:ascii="宋体" w:hAnsi="宋体" w:cs="宋体"/>
          <w:sz w:val="24"/>
        </w:rPr>
        <w:t>28.1响应人参加谈判不得有下列情形：</w:t>
      </w:r>
    </w:p>
    <w:p>
      <w:pPr>
        <w:kinsoku/>
        <w:overflowPunct/>
        <w:topLinePunct w:val="0"/>
        <w:bidi w:val="0"/>
        <w:snapToGrid w:val="0"/>
        <w:spacing w:line="560" w:lineRule="exact"/>
        <w:ind w:firstLine="260" w:firstLineChars="100"/>
        <w:rPr>
          <w:rFonts w:ascii="宋体" w:hAnsi="宋体"/>
          <w:spacing w:val="10"/>
          <w:sz w:val="24"/>
          <w:szCs w:val="24"/>
        </w:rPr>
      </w:pPr>
      <w:r>
        <w:rPr>
          <w:rFonts w:hint="eastAsia" w:ascii="宋体" w:hAnsi="宋体"/>
          <w:spacing w:val="10"/>
          <w:sz w:val="24"/>
          <w:szCs w:val="24"/>
        </w:rPr>
        <w:t>（1）提供虚假材料谋取成交</w:t>
      </w:r>
    </w:p>
    <w:p>
      <w:pPr>
        <w:kinsoku/>
        <w:overflowPunct/>
        <w:topLinePunct w:val="0"/>
        <w:bidi w:val="0"/>
        <w:snapToGrid w:val="0"/>
        <w:spacing w:line="560" w:lineRule="exact"/>
        <w:ind w:firstLine="260" w:firstLineChars="100"/>
        <w:rPr>
          <w:rFonts w:ascii="宋体" w:hAnsi="宋体"/>
          <w:spacing w:val="10"/>
          <w:sz w:val="24"/>
          <w:szCs w:val="24"/>
        </w:rPr>
      </w:pPr>
      <w:r>
        <w:rPr>
          <w:rFonts w:hint="eastAsia" w:ascii="宋体" w:hAnsi="宋体"/>
          <w:spacing w:val="10"/>
          <w:sz w:val="24"/>
          <w:szCs w:val="24"/>
        </w:rPr>
        <w:t>（</w:t>
      </w:r>
      <w:r>
        <w:rPr>
          <w:rFonts w:ascii="宋体" w:hAnsi="宋体"/>
          <w:spacing w:val="10"/>
          <w:sz w:val="24"/>
          <w:szCs w:val="24"/>
        </w:rPr>
        <w:t>2</w:t>
      </w:r>
      <w:r>
        <w:rPr>
          <w:rFonts w:hint="eastAsia" w:ascii="宋体" w:hAnsi="宋体"/>
          <w:spacing w:val="10"/>
          <w:sz w:val="24"/>
          <w:szCs w:val="24"/>
        </w:rPr>
        <w:t>）采取不正当手段诋毁、排挤其他响应人</w:t>
      </w:r>
    </w:p>
    <w:p>
      <w:pPr>
        <w:kinsoku/>
        <w:overflowPunct/>
        <w:topLinePunct w:val="0"/>
        <w:bidi w:val="0"/>
        <w:snapToGrid w:val="0"/>
        <w:spacing w:line="560" w:lineRule="exact"/>
        <w:ind w:firstLine="260" w:firstLineChars="100"/>
        <w:rPr>
          <w:rFonts w:ascii="宋体" w:hAnsi="宋体"/>
          <w:spacing w:val="10"/>
          <w:sz w:val="24"/>
          <w:szCs w:val="24"/>
        </w:rPr>
      </w:pPr>
      <w:r>
        <w:rPr>
          <w:rFonts w:hint="eastAsia" w:ascii="宋体" w:hAnsi="宋体"/>
          <w:spacing w:val="10"/>
          <w:sz w:val="24"/>
          <w:szCs w:val="24"/>
        </w:rPr>
        <w:t>（</w:t>
      </w:r>
      <w:r>
        <w:rPr>
          <w:rFonts w:ascii="宋体" w:hAnsi="宋体"/>
          <w:spacing w:val="10"/>
          <w:sz w:val="24"/>
          <w:szCs w:val="24"/>
        </w:rPr>
        <w:t>3</w:t>
      </w:r>
      <w:r>
        <w:rPr>
          <w:rFonts w:hint="eastAsia" w:ascii="宋体" w:hAnsi="宋体"/>
          <w:spacing w:val="10"/>
          <w:sz w:val="24"/>
          <w:szCs w:val="24"/>
        </w:rPr>
        <w:t>）与采购人、其他响应人恶意串通</w:t>
      </w:r>
    </w:p>
    <w:p>
      <w:pPr>
        <w:kinsoku/>
        <w:overflowPunct/>
        <w:topLinePunct w:val="0"/>
        <w:bidi w:val="0"/>
        <w:snapToGrid w:val="0"/>
        <w:spacing w:line="560" w:lineRule="exact"/>
        <w:ind w:firstLine="260" w:firstLineChars="100"/>
        <w:rPr>
          <w:rFonts w:ascii="宋体" w:hAnsi="宋体"/>
          <w:spacing w:val="10"/>
          <w:sz w:val="24"/>
          <w:szCs w:val="24"/>
        </w:rPr>
      </w:pPr>
      <w:r>
        <w:rPr>
          <w:rFonts w:hint="eastAsia" w:ascii="宋体" w:hAnsi="宋体"/>
          <w:spacing w:val="10"/>
          <w:sz w:val="24"/>
          <w:szCs w:val="24"/>
        </w:rPr>
        <w:t>（</w:t>
      </w:r>
      <w:r>
        <w:rPr>
          <w:rFonts w:ascii="宋体" w:hAnsi="宋体"/>
          <w:spacing w:val="10"/>
          <w:sz w:val="24"/>
          <w:szCs w:val="24"/>
        </w:rPr>
        <w:t>4</w:t>
      </w:r>
      <w:r>
        <w:rPr>
          <w:rFonts w:hint="eastAsia" w:ascii="宋体" w:hAnsi="宋体"/>
          <w:spacing w:val="10"/>
          <w:sz w:val="24"/>
          <w:szCs w:val="24"/>
        </w:rPr>
        <w:t>）向采购人、谈判小组成员行贿或者提供其他不正当利益</w:t>
      </w:r>
    </w:p>
    <w:p>
      <w:pPr>
        <w:kinsoku/>
        <w:overflowPunct/>
        <w:topLinePunct w:val="0"/>
        <w:bidi w:val="0"/>
        <w:snapToGrid w:val="0"/>
        <w:spacing w:line="560" w:lineRule="exact"/>
        <w:ind w:firstLine="260" w:firstLineChars="100"/>
        <w:rPr>
          <w:rFonts w:ascii="宋体" w:hAnsi="宋体" w:cs="宋体"/>
          <w:sz w:val="24"/>
        </w:rPr>
      </w:pPr>
      <w:r>
        <w:rPr>
          <w:rFonts w:hint="eastAsia" w:ascii="宋体" w:hAnsi="宋体"/>
          <w:spacing w:val="10"/>
          <w:sz w:val="24"/>
          <w:szCs w:val="24"/>
        </w:rPr>
        <w:t>（</w:t>
      </w:r>
      <w:r>
        <w:rPr>
          <w:rFonts w:ascii="宋体" w:hAnsi="宋体"/>
          <w:spacing w:val="10"/>
          <w:sz w:val="24"/>
          <w:szCs w:val="24"/>
        </w:rPr>
        <w:t>5</w:t>
      </w:r>
      <w:r>
        <w:rPr>
          <w:rFonts w:hint="eastAsia" w:ascii="宋体" w:hAnsi="宋体"/>
          <w:spacing w:val="10"/>
          <w:sz w:val="24"/>
          <w:szCs w:val="24"/>
        </w:rPr>
        <w:t>）</w:t>
      </w:r>
      <w:r>
        <w:rPr>
          <w:rFonts w:hint="eastAsia" w:ascii="宋体" w:hAnsi="宋体" w:cs="宋体"/>
          <w:sz w:val="24"/>
        </w:rPr>
        <w:t>拒绝有关部门的监督检查或者向监督检查部门提供虚假情况</w:t>
      </w:r>
    </w:p>
    <w:p>
      <w:pPr>
        <w:pStyle w:val="7"/>
        <w:kinsoku/>
        <w:overflowPunct/>
        <w:topLinePunct w:val="0"/>
        <w:bidi w:val="0"/>
        <w:spacing w:line="560" w:lineRule="exact"/>
        <w:ind w:firstLine="480" w:firstLineChars="200"/>
        <w:rPr>
          <w:rFonts w:ascii="宋体" w:hAnsi="宋体" w:cs="宋体"/>
          <w:b/>
          <w:kern w:val="44"/>
          <w:sz w:val="36"/>
        </w:rPr>
      </w:pPr>
      <w:r>
        <w:rPr>
          <w:rFonts w:hint="eastAsia" w:ascii="宋体" w:hAnsi="宋体" w:cs="宋体"/>
          <w:sz w:val="24"/>
        </w:rPr>
        <w:t>有上述情形之一的响应人，属于不合格响应人，其谈判或成交资格将被取消。</w:t>
      </w:r>
      <w:bookmarkEnd w:id="238"/>
      <w:bookmarkEnd w:id="239"/>
      <w:bookmarkStart w:id="248" w:name="_Toc217446093"/>
    </w:p>
    <w:p>
      <w:pPr>
        <w:pStyle w:val="4"/>
        <w:kinsoku/>
        <w:overflowPunct/>
        <w:topLinePunct w:val="0"/>
        <w:bidi w:val="0"/>
        <w:spacing w:before="260" w:after="260" w:line="560" w:lineRule="exact"/>
        <w:jc w:val="center"/>
        <w:rPr>
          <w:szCs w:val="32"/>
        </w:rPr>
      </w:pPr>
      <w:r>
        <w:br w:type="page"/>
      </w:r>
      <w:bookmarkStart w:id="249" w:name="_Toc466206535"/>
      <w:r>
        <w:rPr>
          <w:rFonts w:hint="eastAsia"/>
          <w:szCs w:val="32"/>
        </w:rPr>
        <w:t>第三章  评审办法</w:t>
      </w:r>
      <w:bookmarkEnd w:id="249"/>
    </w:p>
    <w:p>
      <w:pPr>
        <w:widowControl/>
        <w:kinsoku/>
        <w:overflowPunct/>
        <w:topLinePunct w:val="0"/>
        <w:bidi w:val="0"/>
        <w:spacing w:before="120" w:beforeLines="50" w:line="560" w:lineRule="exact"/>
        <w:ind w:firstLine="480" w:firstLineChars="200"/>
        <w:jc w:val="left"/>
        <w:rPr>
          <w:rFonts w:ascii="宋体" w:hAnsi="宋体"/>
          <w:kern w:val="0"/>
          <w:sz w:val="24"/>
          <w:szCs w:val="24"/>
        </w:rPr>
      </w:pPr>
      <w:r>
        <w:rPr>
          <w:rFonts w:hint="eastAsia" w:ascii="宋体" w:hAnsi="宋体"/>
          <w:kern w:val="0"/>
          <w:sz w:val="24"/>
          <w:szCs w:val="24"/>
        </w:rPr>
        <w:t>一.为使本次谈判工作体现公开、公平、公正的原则和平等竞争的精神，并择优选定报价合理、信誉好、服务能力强的成交人，依照国家、省和四川省能源投资集团有限责任公司有关规定，特制定本评审办法。</w:t>
      </w:r>
    </w:p>
    <w:p>
      <w:pPr>
        <w:widowControl/>
        <w:kinsoku/>
        <w:overflowPunct/>
        <w:topLinePunct w:val="0"/>
        <w:bidi w:val="0"/>
        <w:spacing w:before="120" w:beforeLines="50" w:line="560" w:lineRule="exact"/>
        <w:ind w:firstLine="480" w:firstLineChars="200"/>
        <w:jc w:val="left"/>
        <w:rPr>
          <w:rFonts w:ascii="宋体" w:hAnsi="宋体"/>
          <w:kern w:val="0"/>
          <w:sz w:val="24"/>
          <w:szCs w:val="24"/>
        </w:rPr>
      </w:pPr>
      <w:r>
        <w:rPr>
          <w:rFonts w:hint="eastAsia" w:ascii="宋体" w:hAnsi="宋体"/>
          <w:kern w:val="0"/>
          <w:sz w:val="24"/>
          <w:szCs w:val="24"/>
        </w:rPr>
        <w:t>二.谈判小组依据竞争性谈判文件中的标准、办法对</w:t>
      </w:r>
      <w:r>
        <w:rPr>
          <w:rFonts w:hint="eastAsia" w:ascii="宋体" w:hAnsi="宋体"/>
          <w:sz w:val="24"/>
          <w:szCs w:val="24"/>
        </w:rPr>
        <w:t>响应文件</w:t>
      </w:r>
      <w:r>
        <w:rPr>
          <w:rFonts w:hint="eastAsia" w:ascii="宋体" w:hAnsi="宋体"/>
          <w:kern w:val="0"/>
          <w:sz w:val="24"/>
          <w:szCs w:val="24"/>
        </w:rPr>
        <w:t>进行评审，任何其他的外部证据均不得作为评审的依据。</w:t>
      </w:r>
    </w:p>
    <w:p>
      <w:pPr>
        <w:widowControl/>
        <w:kinsoku/>
        <w:overflowPunct/>
        <w:topLinePunct w:val="0"/>
        <w:bidi w:val="0"/>
        <w:spacing w:line="560" w:lineRule="exact"/>
        <w:ind w:firstLine="480" w:firstLineChars="200"/>
        <w:jc w:val="left"/>
        <w:rPr>
          <w:rFonts w:ascii="宋体" w:hAnsi="宋体"/>
          <w:kern w:val="0"/>
          <w:sz w:val="24"/>
          <w:szCs w:val="24"/>
        </w:rPr>
      </w:pPr>
      <w:r>
        <w:rPr>
          <w:rFonts w:hint="eastAsia" w:ascii="宋体" w:hAnsi="宋体"/>
          <w:kern w:val="0"/>
          <w:sz w:val="24"/>
          <w:szCs w:val="24"/>
        </w:rPr>
        <w:t>三.本次评审工作由采购人组织的谈判小组负责。谈判小组成员人数为</w:t>
      </w:r>
      <w:r>
        <w:rPr>
          <w:rFonts w:hint="eastAsia" w:ascii="宋体" w:hAnsi="宋体"/>
          <w:color w:val="000000"/>
          <w:kern w:val="0"/>
          <w:sz w:val="24"/>
          <w:szCs w:val="24"/>
          <w:lang w:val="en-US" w:eastAsia="zh-CN"/>
        </w:rPr>
        <w:t>5</w:t>
      </w:r>
      <w:r>
        <w:rPr>
          <w:rFonts w:hint="eastAsia" w:ascii="宋体" w:hAnsi="宋体"/>
          <w:kern w:val="0"/>
          <w:sz w:val="24"/>
          <w:szCs w:val="24"/>
        </w:rPr>
        <w:t>人</w:t>
      </w:r>
      <w:r>
        <w:rPr>
          <w:rFonts w:hint="eastAsia" w:ascii="宋体" w:hAnsi="宋体"/>
          <w:kern w:val="0"/>
          <w:sz w:val="24"/>
          <w:szCs w:val="24"/>
          <w:lang w:eastAsia="zh-CN"/>
        </w:rPr>
        <w:t>及以上单数</w:t>
      </w:r>
      <w:r>
        <w:rPr>
          <w:rFonts w:hint="eastAsia" w:ascii="宋体" w:hAnsi="宋体"/>
          <w:kern w:val="0"/>
          <w:sz w:val="24"/>
          <w:szCs w:val="24"/>
        </w:rPr>
        <w:t>。入围结果确定之前，谈判小组成员的名单保密。谈判小组成员应根据竞争性谈判文件要求和本评审办法对</w:t>
      </w:r>
      <w:r>
        <w:rPr>
          <w:rFonts w:hint="eastAsia" w:ascii="宋体" w:hAnsi="宋体"/>
          <w:sz w:val="24"/>
          <w:szCs w:val="24"/>
        </w:rPr>
        <w:t>响应</w:t>
      </w:r>
      <w:r>
        <w:rPr>
          <w:rFonts w:hint="eastAsia" w:ascii="宋体" w:hAnsi="宋体"/>
          <w:kern w:val="0"/>
          <w:sz w:val="24"/>
          <w:szCs w:val="24"/>
        </w:rPr>
        <w:t>人的</w:t>
      </w:r>
      <w:r>
        <w:rPr>
          <w:rFonts w:hint="eastAsia" w:ascii="宋体" w:hAnsi="宋体"/>
          <w:sz w:val="24"/>
          <w:szCs w:val="24"/>
        </w:rPr>
        <w:t>响应文件</w:t>
      </w:r>
      <w:r>
        <w:rPr>
          <w:rFonts w:hint="eastAsia" w:ascii="宋体" w:hAnsi="宋体"/>
          <w:kern w:val="0"/>
          <w:sz w:val="24"/>
          <w:szCs w:val="24"/>
        </w:rPr>
        <w:t>逐一进行分析、比较和评审。</w:t>
      </w:r>
    </w:p>
    <w:p>
      <w:pPr>
        <w:widowControl/>
        <w:kinsoku/>
        <w:overflowPunct/>
        <w:topLinePunct w:val="0"/>
        <w:bidi w:val="0"/>
        <w:spacing w:line="560" w:lineRule="exact"/>
        <w:ind w:firstLine="480" w:firstLineChars="200"/>
        <w:jc w:val="left"/>
        <w:rPr>
          <w:rFonts w:ascii="宋体" w:hAnsi="宋体"/>
          <w:kern w:val="0"/>
          <w:sz w:val="24"/>
          <w:szCs w:val="24"/>
        </w:rPr>
      </w:pPr>
      <w:r>
        <w:rPr>
          <w:rFonts w:hint="eastAsia" w:ascii="宋体" w:hAnsi="宋体"/>
          <w:kern w:val="0"/>
          <w:sz w:val="24"/>
          <w:szCs w:val="24"/>
        </w:rPr>
        <w:t>四.评审标准</w:t>
      </w:r>
    </w:p>
    <w:p>
      <w:pPr>
        <w:kinsoku/>
        <w:overflowPunct/>
        <w:topLinePunct w:val="0"/>
        <w:bidi w:val="0"/>
        <w:spacing w:line="560" w:lineRule="exact"/>
        <w:ind w:firstLine="480" w:firstLineChars="200"/>
        <w:jc w:val="left"/>
        <w:rPr>
          <w:rFonts w:ascii="宋体" w:hAnsi="宋体"/>
          <w:sz w:val="24"/>
        </w:rPr>
      </w:pPr>
      <w:r>
        <w:rPr>
          <w:rFonts w:hint="eastAsia" w:ascii="宋体" w:hAnsi="宋体"/>
          <w:sz w:val="24"/>
        </w:rPr>
        <w:t>谈判小组对响应文件</w:t>
      </w:r>
      <w:r>
        <w:rPr>
          <w:rFonts w:ascii="宋体" w:hAnsi="宋体"/>
          <w:sz w:val="24"/>
        </w:rPr>
        <w:t>按照</w:t>
      </w:r>
      <w:r>
        <w:rPr>
          <w:rFonts w:hint="eastAsia" w:ascii="宋体" w:hAnsi="宋体"/>
          <w:sz w:val="24"/>
        </w:rPr>
        <w:t>综合得分最高的原则进行评审。</w:t>
      </w:r>
    </w:p>
    <w:p>
      <w:pPr>
        <w:kinsoku/>
        <w:overflowPunct/>
        <w:topLinePunct w:val="0"/>
        <w:bidi w:val="0"/>
        <w:spacing w:line="560" w:lineRule="exact"/>
        <w:ind w:firstLine="480" w:firstLineChars="200"/>
        <w:rPr>
          <w:rFonts w:hint="eastAsia" w:ascii="宋体" w:hAnsi="宋体"/>
          <w:bCs/>
          <w:sz w:val="24"/>
        </w:rPr>
      </w:pPr>
      <w:bookmarkStart w:id="250" w:name="_Toc61327442"/>
      <w:r>
        <w:rPr>
          <w:rFonts w:ascii="宋体" w:hAnsi="宋体"/>
          <w:sz w:val="24"/>
        </w:rPr>
        <w:t>4.</w:t>
      </w:r>
      <w:r>
        <w:rPr>
          <w:rFonts w:hint="eastAsia" w:ascii="宋体" w:hAnsi="宋体"/>
          <w:sz w:val="24"/>
          <w:lang w:val="en-US" w:eastAsia="zh-CN"/>
        </w:rPr>
        <w:t>1</w:t>
      </w:r>
      <w:r>
        <w:rPr>
          <w:rFonts w:hint="eastAsia" w:ascii="宋体" w:hAnsi="宋体"/>
          <w:sz w:val="24"/>
        </w:rPr>
        <w:t>综合得分最高的原则</w:t>
      </w:r>
    </w:p>
    <w:p>
      <w:pPr>
        <w:kinsoku/>
        <w:overflowPunct/>
        <w:topLinePunct w:val="0"/>
        <w:bidi w:val="0"/>
        <w:spacing w:line="560" w:lineRule="exact"/>
        <w:ind w:firstLine="480" w:firstLineChars="200"/>
        <w:jc w:val="left"/>
        <w:rPr>
          <w:rFonts w:ascii="宋体" w:hAnsi="宋体"/>
          <w:bCs/>
          <w:sz w:val="24"/>
        </w:rPr>
      </w:pPr>
      <w:r>
        <w:rPr>
          <w:rFonts w:hint="eastAsia" w:ascii="宋体" w:hAnsi="宋体"/>
          <w:bCs/>
          <w:sz w:val="24"/>
        </w:rPr>
        <w:t>(1)</w:t>
      </w:r>
      <w:r>
        <w:rPr>
          <w:rFonts w:hint="eastAsia"/>
        </w:rPr>
        <w:t xml:space="preserve"> </w:t>
      </w:r>
      <w:r>
        <w:rPr>
          <w:rFonts w:hint="eastAsia" w:ascii="宋体" w:hAnsi="宋体"/>
          <w:bCs/>
          <w:sz w:val="24"/>
        </w:rPr>
        <w:t>符合性评审、资格审查及响应性评审</w:t>
      </w:r>
    </w:p>
    <w:p>
      <w:pPr>
        <w:kinsoku/>
        <w:overflowPunct/>
        <w:topLinePunct w:val="0"/>
        <w:bidi w:val="0"/>
        <w:spacing w:line="560" w:lineRule="exact"/>
        <w:ind w:firstLine="480" w:firstLineChars="200"/>
        <w:rPr>
          <w:rFonts w:hint="eastAsia" w:ascii="宋体" w:hAnsi="宋体"/>
          <w:bCs/>
          <w:sz w:val="24"/>
        </w:rPr>
      </w:pPr>
      <w:r>
        <w:rPr>
          <w:rFonts w:hint="eastAsia" w:ascii="宋体" w:hAnsi="宋体"/>
          <w:bCs/>
          <w:sz w:val="24"/>
        </w:rPr>
        <w:t>评审内容详见下表：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501"/>
        <w:gridCol w:w="2205"/>
        <w:gridCol w:w="6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3" w:type="dxa"/>
            <w:noWrap w:val="0"/>
            <w:vAlign w:val="center"/>
          </w:tcPr>
          <w:p>
            <w:pPr>
              <w:kinsoku/>
              <w:overflowPunct/>
              <w:topLinePunct w:val="0"/>
              <w:bidi w:val="0"/>
              <w:spacing w:after="0" w:line="560" w:lineRule="exact"/>
              <w:jc w:val="center"/>
              <w:rPr>
                <w:rFonts w:ascii="宋体" w:hAnsi="宋体" w:eastAsia="宋体"/>
                <w:b/>
                <w:color w:val="000000"/>
                <w:sz w:val="24"/>
                <w:szCs w:val="24"/>
              </w:rPr>
            </w:pPr>
            <w:r>
              <w:rPr>
                <w:rFonts w:hint="eastAsia" w:ascii="宋体" w:hAnsi="宋体" w:eastAsia="宋体"/>
                <w:b/>
                <w:color w:val="000000"/>
                <w:sz w:val="24"/>
                <w:szCs w:val="24"/>
                <w:lang w:eastAsia="zh-CN"/>
              </w:rPr>
              <w:t>序</w:t>
            </w:r>
            <w:r>
              <w:rPr>
                <w:rFonts w:ascii="宋体" w:hAnsi="宋体" w:eastAsia="宋体"/>
                <w:b/>
                <w:color w:val="000000"/>
                <w:sz w:val="24"/>
                <w:szCs w:val="24"/>
              </w:rPr>
              <w:t>号</w:t>
            </w:r>
          </w:p>
        </w:tc>
        <w:tc>
          <w:tcPr>
            <w:tcW w:w="1501" w:type="dxa"/>
            <w:noWrap w:val="0"/>
            <w:vAlign w:val="center"/>
          </w:tcPr>
          <w:p>
            <w:pPr>
              <w:kinsoku/>
              <w:overflowPunct/>
              <w:topLinePunct w:val="0"/>
              <w:bidi w:val="0"/>
              <w:spacing w:after="0" w:line="560" w:lineRule="exact"/>
              <w:jc w:val="center"/>
              <w:rPr>
                <w:rFonts w:ascii="宋体" w:hAnsi="宋体" w:eastAsia="宋体"/>
                <w:b/>
                <w:color w:val="000000"/>
                <w:sz w:val="24"/>
                <w:szCs w:val="24"/>
              </w:rPr>
            </w:pPr>
            <w:r>
              <w:rPr>
                <w:rFonts w:ascii="宋体" w:hAnsi="宋体" w:eastAsia="宋体"/>
                <w:b/>
                <w:color w:val="000000"/>
                <w:sz w:val="24"/>
                <w:szCs w:val="24"/>
              </w:rPr>
              <w:t>条款</w:t>
            </w:r>
          </w:p>
        </w:tc>
        <w:tc>
          <w:tcPr>
            <w:tcW w:w="2205" w:type="dxa"/>
            <w:noWrap w:val="0"/>
            <w:vAlign w:val="center"/>
          </w:tcPr>
          <w:p>
            <w:pPr>
              <w:kinsoku/>
              <w:overflowPunct/>
              <w:topLinePunct w:val="0"/>
              <w:bidi w:val="0"/>
              <w:spacing w:after="0" w:line="560" w:lineRule="exact"/>
              <w:jc w:val="center"/>
              <w:rPr>
                <w:rFonts w:ascii="宋体" w:hAnsi="宋体" w:eastAsia="宋体"/>
                <w:b/>
                <w:color w:val="000000"/>
                <w:sz w:val="24"/>
                <w:szCs w:val="24"/>
              </w:rPr>
            </w:pPr>
            <w:r>
              <w:rPr>
                <w:rFonts w:ascii="宋体" w:hAnsi="宋体" w:eastAsia="宋体"/>
                <w:b/>
                <w:color w:val="000000"/>
                <w:sz w:val="24"/>
                <w:szCs w:val="24"/>
              </w:rPr>
              <w:t>评审因素</w:t>
            </w:r>
          </w:p>
        </w:tc>
        <w:tc>
          <w:tcPr>
            <w:tcW w:w="6109" w:type="dxa"/>
            <w:noWrap w:val="0"/>
            <w:vAlign w:val="center"/>
          </w:tcPr>
          <w:p>
            <w:pPr>
              <w:kinsoku/>
              <w:overflowPunct/>
              <w:topLinePunct w:val="0"/>
              <w:bidi w:val="0"/>
              <w:spacing w:after="0" w:line="560" w:lineRule="exact"/>
              <w:jc w:val="center"/>
              <w:rPr>
                <w:rFonts w:ascii="宋体" w:hAnsi="宋体" w:eastAsia="宋体"/>
                <w:b/>
                <w:color w:val="000000"/>
                <w:sz w:val="24"/>
                <w:szCs w:val="24"/>
              </w:rPr>
            </w:pPr>
            <w:r>
              <w:rPr>
                <w:rFonts w:ascii="宋体" w:hAnsi="宋体" w:eastAsia="宋体"/>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3" w:type="dxa"/>
            <w:vMerge w:val="restart"/>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.1.1</w:t>
            </w:r>
          </w:p>
        </w:tc>
        <w:tc>
          <w:tcPr>
            <w:tcW w:w="1501" w:type="dxa"/>
            <w:vMerge w:val="restart"/>
            <w:noWrap w:val="0"/>
            <w:vAlign w:val="center"/>
          </w:tcPr>
          <w:p>
            <w:pPr>
              <w:kinsoku/>
              <w:overflowPunct/>
              <w:topLinePunct w:val="0"/>
              <w:bidi w:val="0"/>
              <w:spacing w:after="0" w:line="560" w:lineRule="exact"/>
              <w:jc w:val="center"/>
              <w:rPr>
                <w:rFonts w:hint="eastAsia" w:ascii="宋体" w:hAnsi="宋体" w:eastAsia="宋体"/>
                <w:color w:val="000000"/>
                <w:sz w:val="24"/>
                <w:szCs w:val="24"/>
                <w:lang w:eastAsia="zh-CN"/>
              </w:rPr>
            </w:pPr>
            <w:r>
              <w:rPr>
                <w:rFonts w:hint="default" w:ascii="宋体" w:hAnsi="宋体" w:eastAsia="宋体"/>
                <w:b w:val="0"/>
                <w:bCs w:val="0"/>
                <w:color w:val="000000"/>
                <w:sz w:val="24"/>
                <w:szCs w:val="24"/>
              </w:rPr>
              <w:t>符合</w:t>
            </w:r>
            <w:r>
              <w:rPr>
                <w:rFonts w:hint="eastAsia" w:ascii="宋体" w:hAnsi="宋体" w:eastAsia="宋体"/>
                <w:b w:val="0"/>
                <w:bCs w:val="0"/>
                <w:color w:val="000000"/>
                <w:sz w:val="24"/>
                <w:szCs w:val="24"/>
                <w:lang w:eastAsia="zh-CN"/>
              </w:rPr>
              <w:t>性</w:t>
            </w:r>
          </w:p>
          <w:p>
            <w:pPr>
              <w:kinsoku/>
              <w:overflowPunct/>
              <w:topLinePunct w:val="0"/>
              <w:bidi w:val="0"/>
              <w:spacing w:after="0" w:line="560" w:lineRule="exact"/>
              <w:jc w:val="center"/>
              <w:rPr>
                <w:rFonts w:ascii="宋体" w:hAnsi="宋体" w:eastAsia="宋体"/>
                <w:color w:val="000000"/>
                <w:sz w:val="24"/>
                <w:szCs w:val="24"/>
              </w:rPr>
            </w:pPr>
            <w:r>
              <w:rPr>
                <w:rFonts w:ascii="宋体" w:hAnsi="宋体" w:eastAsia="宋体"/>
                <w:color w:val="000000"/>
                <w:sz w:val="24"/>
                <w:szCs w:val="24"/>
              </w:rPr>
              <w:t>评审标准</w:t>
            </w: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hint="eastAsia" w:ascii="宋体" w:hAnsi="宋体" w:eastAsia="宋体"/>
                <w:color w:val="000000"/>
                <w:sz w:val="24"/>
                <w:szCs w:val="24"/>
                <w:lang w:eastAsia="zh-CN"/>
              </w:rPr>
              <w:t>响应</w:t>
            </w:r>
            <w:r>
              <w:rPr>
                <w:rFonts w:ascii="宋体" w:hAnsi="宋体" w:eastAsia="宋体"/>
                <w:color w:val="000000"/>
                <w:sz w:val="24"/>
                <w:szCs w:val="24"/>
              </w:rPr>
              <w:t>人名称</w:t>
            </w:r>
          </w:p>
        </w:tc>
        <w:tc>
          <w:tcPr>
            <w:tcW w:w="6109" w:type="dxa"/>
            <w:noWrap w:val="0"/>
            <w:vAlign w:val="top"/>
          </w:tcPr>
          <w:p>
            <w:pPr>
              <w:kinsoku/>
              <w:overflowPunct/>
              <w:topLinePunct w:val="0"/>
              <w:bidi w:val="0"/>
              <w:spacing w:after="0" w:line="560" w:lineRule="exact"/>
              <w:rPr>
                <w:rFonts w:hint="eastAsia" w:ascii="宋体" w:hAnsi="宋体" w:cs="宋体"/>
                <w:kern w:val="0"/>
                <w:sz w:val="24"/>
                <w:szCs w:val="24"/>
              </w:rPr>
            </w:pPr>
            <w:r>
              <w:rPr>
                <w:rFonts w:hint="eastAsia" w:ascii="宋体" w:hAnsi="宋体" w:cs="宋体"/>
                <w:kern w:val="0"/>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23"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1501"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ascii="宋体" w:hAnsi="宋体" w:eastAsia="宋体"/>
                <w:color w:val="000000"/>
                <w:sz w:val="24"/>
                <w:szCs w:val="24"/>
              </w:rPr>
              <w:t>签字﹑盖章</w:t>
            </w:r>
          </w:p>
        </w:tc>
        <w:tc>
          <w:tcPr>
            <w:tcW w:w="6109" w:type="dxa"/>
            <w:noWrap w:val="0"/>
            <w:vAlign w:val="top"/>
          </w:tcPr>
          <w:p>
            <w:pPr>
              <w:kinsoku/>
              <w:overflowPunct/>
              <w:topLinePunct w:val="0"/>
              <w:bidi w:val="0"/>
              <w:spacing w:after="0" w:line="560" w:lineRule="exact"/>
              <w:rPr>
                <w:rFonts w:hint="eastAsia" w:ascii="宋体" w:hAnsi="宋体" w:cs="宋体"/>
                <w:kern w:val="0"/>
                <w:sz w:val="24"/>
                <w:szCs w:val="24"/>
              </w:rPr>
            </w:pPr>
            <w:r>
              <w:rPr>
                <w:rFonts w:hint="eastAsia" w:ascii="宋体" w:hAnsi="宋体" w:cs="宋体"/>
                <w:kern w:val="0"/>
                <w:sz w:val="24"/>
                <w:szCs w:val="24"/>
              </w:rPr>
              <w:t>是否符合竞争性谈判文件的签署盖章要求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3"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1501"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ascii="宋体" w:hAnsi="宋体" w:eastAsia="宋体"/>
                <w:color w:val="000000"/>
                <w:sz w:val="24"/>
                <w:szCs w:val="24"/>
              </w:rPr>
              <w:t>副本份数</w:t>
            </w:r>
          </w:p>
        </w:tc>
        <w:tc>
          <w:tcPr>
            <w:tcW w:w="6109" w:type="dxa"/>
            <w:noWrap w:val="0"/>
            <w:vAlign w:val="top"/>
          </w:tcPr>
          <w:p>
            <w:pPr>
              <w:kinsoku/>
              <w:overflowPunct/>
              <w:topLinePunct w:val="0"/>
              <w:bidi w:val="0"/>
              <w:spacing w:after="0" w:line="560" w:lineRule="exact"/>
              <w:rPr>
                <w:rFonts w:hint="eastAsia" w:ascii="宋体" w:hAnsi="宋体" w:cs="宋体"/>
                <w:kern w:val="0"/>
                <w:sz w:val="24"/>
                <w:szCs w:val="24"/>
                <w:lang w:val="en-US" w:eastAsia="zh-CN"/>
              </w:rPr>
            </w:pPr>
            <w:r>
              <w:rPr>
                <w:rFonts w:hint="eastAsia" w:ascii="宋体" w:hAnsi="宋体" w:cs="宋体"/>
                <w:kern w:val="0"/>
                <w:sz w:val="24"/>
                <w:szCs w:val="24"/>
                <w:lang w:val="en-US" w:eastAsia="zh-CN"/>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3"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1501"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ascii="宋体" w:hAnsi="宋体" w:eastAsia="宋体"/>
                <w:color w:val="000000"/>
                <w:sz w:val="24"/>
                <w:szCs w:val="24"/>
              </w:rPr>
              <w:t>装订</w:t>
            </w:r>
          </w:p>
        </w:tc>
        <w:tc>
          <w:tcPr>
            <w:tcW w:w="6109" w:type="dxa"/>
            <w:noWrap w:val="0"/>
            <w:vAlign w:val="top"/>
          </w:tcPr>
          <w:p>
            <w:pPr>
              <w:kinsoku/>
              <w:overflowPunct/>
              <w:topLinePunct w:val="0"/>
              <w:bidi w:val="0"/>
              <w:spacing w:after="0" w:line="560" w:lineRule="exact"/>
              <w:rPr>
                <w:rFonts w:hint="eastAsia" w:ascii="宋体" w:hAnsi="宋体" w:cs="宋体"/>
                <w:kern w:val="0"/>
                <w:sz w:val="24"/>
                <w:szCs w:val="24"/>
              </w:rPr>
            </w:pPr>
            <w:r>
              <w:rPr>
                <w:rFonts w:hint="eastAsia" w:ascii="宋体" w:hAnsi="宋体" w:cs="宋体"/>
                <w:kern w:val="0"/>
                <w:sz w:val="24"/>
                <w:szCs w:val="24"/>
                <w:lang w:eastAsia="zh-CN"/>
              </w:rPr>
              <w:t>响应</w:t>
            </w:r>
            <w:r>
              <w:rPr>
                <w:rFonts w:hint="eastAsia" w:ascii="宋体" w:hAnsi="宋体" w:cs="宋体"/>
                <w:kern w:val="0"/>
                <w:sz w:val="24"/>
                <w:szCs w:val="24"/>
              </w:rPr>
              <w:t>文件正本与副本</w:t>
            </w:r>
            <w:r>
              <w:rPr>
                <w:rFonts w:hint="eastAsia" w:ascii="宋体" w:hAnsi="宋体" w:cs="宋体"/>
                <w:kern w:val="0"/>
                <w:sz w:val="24"/>
                <w:szCs w:val="24"/>
                <w:lang w:eastAsia="zh-CN"/>
              </w:rPr>
              <w:t>是否</w:t>
            </w:r>
            <w:r>
              <w:rPr>
                <w:rFonts w:hint="eastAsia" w:ascii="宋体" w:hAnsi="宋体" w:cs="宋体"/>
                <w:kern w:val="0"/>
                <w:sz w:val="24"/>
                <w:szCs w:val="24"/>
              </w:rPr>
              <w:t>分别装订成册</w:t>
            </w:r>
            <w:r>
              <w:rPr>
                <w:rFonts w:hint="eastAsia" w:ascii="宋体" w:hAnsi="宋体" w:cs="宋体"/>
                <w:kern w:val="0"/>
                <w:sz w:val="24"/>
                <w:szCs w:val="24"/>
                <w:lang w:eastAsia="zh-CN"/>
              </w:rPr>
              <w:t>（不得活页式装订）</w:t>
            </w:r>
            <w:r>
              <w:rPr>
                <w:rFonts w:hint="eastAsia" w:ascii="宋体" w:hAnsi="宋体" w:cs="宋体"/>
                <w:kern w:val="0"/>
                <w:sz w:val="24"/>
                <w:szCs w:val="24"/>
              </w:rPr>
              <w:t>，并编制目录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23"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1501"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ascii="宋体" w:hAnsi="宋体" w:eastAsia="宋体"/>
                <w:color w:val="000000"/>
                <w:sz w:val="24"/>
                <w:szCs w:val="24"/>
              </w:rPr>
              <w:t>编页码和小签</w:t>
            </w:r>
          </w:p>
        </w:tc>
        <w:tc>
          <w:tcPr>
            <w:tcW w:w="6109" w:type="dxa"/>
            <w:noWrap w:val="0"/>
            <w:vAlign w:val="top"/>
          </w:tcPr>
          <w:p>
            <w:pPr>
              <w:kinsoku/>
              <w:overflowPunct/>
              <w:topLinePunct w:val="0"/>
              <w:bidi w:val="0"/>
              <w:spacing w:after="0" w:line="560" w:lineRule="exact"/>
              <w:rPr>
                <w:rFonts w:hint="eastAsia" w:ascii="宋体" w:hAnsi="宋体" w:cs="宋体"/>
                <w:kern w:val="0"/>
                <w:sz w:val="24"/>
                <w:szCs w:val="24"/>
              </w:rPr>
            </w:pPr>
            <w:r>
              <w:rPr>
                <w:rFonts w:hint="eastAsia" w:ascii="宋体" w:hAnsi="宋体" w:cs="宋体"/>
                <w:kern w:val="0"/>
                <w:sz w:val="24"/>
                <w:szCs w:val="24"/>
                <w:lang w:eastAsia="zh-CN"/>
              </w:rPr>
              <w:t>响应</w:t>
            </w:r>
            <w:r>
              <w:rPr>
                <w:rFonts w:hint="eastAsia" w:ascii="宋体" w:hAnsi="宋体" w:cs="宋体"/>
                <w:kern w:val="0"/>
                <w:sz w:val="24"/>
                <w:szCs w:val="24"/>
              </w:rPr>
              <w:t>文件</w:t>
            </w:r>
            <w:r>
              <w:rPr>
                <w:rFonts w:hint="eastAsia" w:ascii="宋体" w:hAnsi="宋体" w:cs="宋体"/>
                <w:kern w:val="0"/>
                <w:sz w:val="24"/>
                <w:szCs w:val="24"/>
                <w:lang w:eastAsia="zh-CN"/>
              </w:rPr>
              <w:t>是否</w:t>
            </w:r>
            <w:r>
              <w:rPr>
                <w:rFonts w:hint="eastAsia" w:ascii="宋体" w:hAnsi="宋体" w:cs="宋体"/>
                <w:kern w:val="0"/>
                <w:sz w:val="24"/>
                <w:szCs w:val="24"/>
              </w:rPr>
              <w:t>从目录第一页开始连续、逐页编页码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23"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1501"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ascii="宋体" w:hAnsi="宋体" w:eastAsia="宋体"/>
                <w:color w:val="000000"/>
                <w:sz w:val="24"/>
                <w:szCs w:val="24"/>
              </w:rPr>
              <w:t>投标文件格式</w:t>
            </w:r>
          </w:p>
        </w:tc>
        <w:tc>
          <w:tcPr>
            <w:tcW w:w="6109" w:type="dxa"/>
            <w:noWrap w:val="0"/>
            <w:vAlign w:val="top"/>
          </w:tcPr>
          <w:p>
            <w:pPr>
              <w:kinsoku/>
              <w:overflowPunct/>
              <w:topLinePunct w:val="0"/>
              <w:bidi w:val="0"/>
              <w:spacing w:after="0" w:line="560" w:lineRule="exact"/>
              <w:rPr>
                <w:rFonts w:hint="eastAsia" w:ascii="宋体" w:hAnsi="宋体" w:cs="宋体"/>
                <w:kern w:val="0"/>
                <w:sz w:val="24"/>
                <w:szCs w:val="24"/>
              </w:rPr>
            </w:pPr>
            <w:r>
              <w:rPr>
                <w:rFonts w:hint="eastAsia" w:ascii="宋体" w:hAnsi="宋体" w:cs="宋体"/>
                <w:kern w:val="0"/>
                <w:sz w:val="24"/>
                <w:szCs w:val="24"/>
                <w:lang w:eastAsia="zh-CN"/>
              </w:rPr>
              <w:t>响应</w:t>
            </w:r>
            <w:r>
              <w:rPr>
                <w:rFonts w:hint="eastAsia" w:ascii="宋体" w:hAnsi="宋体" w:cs="宋体"/>
                <w:kern w:val="0"/>
                <w:sz w:val="24"/>
                <w:szCs w:val="24"/>
              </w:rPr>
              <w:t>文件</w:t>
            </w:r>
            <w:r>
              <w:rPr>
                <w:rFonts w:hint="eastAsia" w:ascii="宋体" w:hAnsi="宋体" w:cs="宋体"/>
                <w:kern w:val="0"/>
                <w:sz w:val="24"/>
                <w:szCs w:val="24"/>
                <w:lang w:eastAsia="zh-CN"/>
              </w:rPr>
              <w:t>是否</w:t>
            </w:r>
            <w:r>
              <w:rPr>
                <w:rFonts w:hint="eastAsia" w:ascii="宋体" w:hAnsi="宋体" w:cs="宋体"/>
                <w:kern w:val="0"/>
                <w:sz w:val="24"/>
                <w:szCs w:val="24"/>
              </w:rPr>
              <w:t>按第六章“</w:t>
            </w:r>
            <w:r>
              <w:rPr>
                <w:rFonts w:hint="eastAsia" w:ascii="宋体" w:hAnsi="宋体" w:cs="宋体"/>
                <w:kern w:val="0"/>
                <w:sz w:val="24"/>
                <w:szCs w:val="24"/>
                <w:lang w:eastAsia="zh-CN"/>
              </w:rPr>
              <w:t>响应</w:t>
            </w:r>
            <w:r>
              <w:rPr>
                <w:rFonts w:hint="eastAsia" w:ascii="宋体" w:hAnsi="宋体" w:cs="宋体"/>
                <w:kern w:val="0"/>
                <w:sz w:val="24"/>
                <w:szCs w:val="24"/>
              </w:rPr>
              <w:t>文件格式”进行编写，如有必要，可以增加附页，作为投标文件的组成部分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23"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1501"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ascii="宋体" w:hAnsi="宋体" w:eastAsia="宋体"/>
                <w:color w:val="000000"/>
                <w:sz w:val="24"/>
                <w:szCs w:val="24"/>
              </w:rPr>
              <w:t>报价唯一</w:t>
            </w:r>
          </w:p>
        </w:tc>
        <w:tc>
          <w:tcPr>
            <w:tcW w:w="6109" w:type="dxa"/>
            <w:noWrap w:val="0"/>
            <w:vAlign w:val="center"/>
          </w:tcPr>
          <w:p>
            <w:pPr>
              <w:kinsoku/>
              <w:overflowPunct/>
              <w:topLinePunct w:val="0"/>
              <w:bidi w:val="0"/>
              <w:spacing w:after="0" w:line="560" w:lineRule="exact"/>
              <w:rPr>
                <w:rFonts w:hint="eastAsia" w:ascii="宋体" w:hAnsi="宋体" w:cs="宋体"/>
                <w:kern w:val="0"/>
                <w:sz w:val="24"/>
                <w:szCs w:val="24"/>
              </w:rPr>
            </w:pPr>
            <w:r>
              <w:rPr>
                <w:rFonts w:hint="eastAsia" w:ascii="宋体" w:hAnsi="宋体" w:cs="宋体"/>
                <w:kern w:val="0"/>
                <w:sz w:val="24"/>
                <w:szCs w:val="24"/>
                <w:lang w:eastAsia="zh-CN"/>
              </w:rPr>
              <w:t>响应</w:t>
            </w:r>
            <w:r>
              <w:rPr>
                <w:rFonts w:hint="eastAsia" w:ascii="宋体" w:hAnsi="宋体" w:cs="宋体"/>
                <w:kern w:val="0"/>
                <w:sz w:val="24"/>
                <w:szCs w:val="24"/>
              </w:rPr>
              <w:t>文件中</w:t>
            </w:r>
            <w:r>
              <w:rPr>
                <w:rFonts w:hint="eastAsia" w:ascii="宋体" w:hAnsi="宋体" w:cs="宋体"/>
                <w:kern w:val="0"/>
                <w:sz w:val="24"/>
                <w:szCs w:val="24"/>
                <w:lang w:eastAsia="zh-CN"/>
              </w:rPr>
              <w:t>谈判响应</w:t>
            </w:r>
            <w:r>
              <w:rPr>
                <w:rFonts w:hint="eastAsia" w:ascii="宋体" w:hAnsi="宋体" w:cs="宋体"/>
                <w:kern w:val="0"/>
                <w:sz w:val="24"/>
                <w:szCs w:val="24"/>
              </w:rPr>
              <w:t>函的总报价（大写）和已标价的物资采购清单中的总价金额，</w:t>
            </w:r>
            <w:r>
              <w:rPr>
                <w:rFonts w:hint="eastAsia" w:ascii="宋体" w:hAnsi="宋体" w:cs="宋体"/>
                <w:kern w:val="0"/>
                <w:sz w:val="24"/>
                <w:szCs w:val="24"/>
                <w:lang w:eastAsia="zh-CN"/>
              </w:rPr>
              <w:t>两</w:t>
            </w:r>
            <w:r>
              <w:rPr>
                <w:rFonts w:hint="eastAsia" w:ascii="宋体" w:hAnsi="宋体" w:cs="宋体"/>
                <w:kern w:val="0"/>
                <w:sz w:val="24"/>
                <w:szCs w:val="24"/>
              </w:rPr>
              <w:t>者应</w:t>
            </w:r>
            <w:r>
              <w:rPr>
                <w:rFonts w:hint="eastAsia" w:ascii="宋体" w:hAnsi="宋体" w:cs="宋体"/>
                <w:kern w:val="0"/>
                <w:sz w:val="24"/>
                <w:szCs w:val="24"/>
                <w:lang w:eastAsia="zh-CN"/>
              </w:rPr>
              <w:t>是否</w:t>
            </w:r>
            <w:r>
              <w:rPr>
                <w:rFonts w:hint="eastAsia" w:ascii="宋体" w:hAnsi="宋体" w:cs="宋体"/>
                <w:kern w:val="0"/>
                <w:sz w:val="24"/>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3" w:type="dxa"/>
            <w:vMerge w:val="restart"/>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.1.2</w:t>
            </w:r>
          </w:p>
        </w:tc>
        <w:tc>
          <w:tcPr>
            <w:tcW w:w="1501" w:type="dxa"/>
            <w:vMerge w:val="restart"/>
            <w:noWrap w:val="0"/>
            <w:vAlign w:val="center"/>
          </w:tcPr>
          <w:p>
            <w:pPr>
              <w:kinsoku/>
              <w:overflowPunct/>
              <w:topLinePunct w:val="0"/>
              <w:bidi w:val="0"/>
              <w:spacing w:after="0" w:line="560" w:lineRule="exact"/>
              <w:jc w:val="center"/>
              <w:rPr>
                <w:rFonts w:hint="eastAsia" w:ascii="宋体" w:hAnsi="宋体" w:eastAsia="宋体"/>
                <w:color w:val="000000"/>
                <w:sz w:val="24"/>
                <w:szCs w:val="24"/>
              </w:rPr>
            </w:pPr>
            <w:r>
              <w:rPr>
                <w:rFonts w:ascii="宋体" w:hAnsi="宋体" w:eastAsia="宋体"/>
                <w:color w:val="000000"/>
                <w:sz w:val="24"/>
                <w:szCs w:val="24"/>
              </w:rPr>
              <w:t>资格</w:t>
            </w:r>
          </w:p>
          <w:p>
            <w:pPr>
              <w:kinsoku/>
              <w:overflowPunct/>
              <w:topLinePunct w:val="0"/>
              <w:bidi w:val="0"/>
              <w:spacing w:after="0" w:line="560" w:lineRule="exact"/>
              <w:jc w:val="center"/>
              <w:rPr>
                <w:rFonts w:ascii="宋体" w:hAnsi="宋体" w:eastAsia="宋体"/>
                <w:color w:val="000000"/>
                <w:sz w:val="24"/>
                <w:szCs w:val="24"/>
              </w:rPr>
            </w:pPr>
            <w:r>
              <w:rPr>
                <w:rFonts w:ascii="宋体" w:hAnsi="宋体" w:eastAsia="宋体"/>
                <w:color w:val="000000"/>
                <w:sz w:val="24"/>
                <w:szCs w:val="24"/>
              </w:rPr>
              <w:t>评审标准</w:t>
            </w: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ascii="宋体" w:hAnsi="宋体" w:eastAsia="宋体"/>
                <w:color w:val="000000"/>
                <w:sz w:val="24"/>
                <w:szCs w:val="24"/>
              </w:rPr>
              <w:t>营业执照</w:t>
            </w:r>
          </w:p>
        </w:tc>
        <w:tc>
          <w:tcPr>
            <w:tcW w:w="6109" w:type="dxa"/>
            <w:noWrap w:val="0"/>
            <w:vAlign w:val="center"/>
          </w:tcPr>
          <w:p>
            <w:pPr>
              <w:kinsoku/>
              <w:overflowPunct/>
              <w:topLinePunct w:val="0"/>
              <w:bidi w:val="0"/>
              <w:spacing w:after="0" w:line="560" w:lineRule="exact"/>
              <w:jc w:val="both"/>
              <w:rPr>
                <w:rFonts w:ascii="宋体" w:hAnsi="宋体" w:eastAsia="宋体"/>
                <w:color w:val="000000"/>
                <w:sz w:val="24"/>
                <w:szCs w:val="24"/>
              </w:rPr>
            </w:pPr>
            <w:r>
              <w:rPr>
                <w:rFonts w:hint="eastAsia" w:ascii="宋体" w:hAnsi="宋体" w:cs="宋体"/>
                <w:kern w:val="0"/>
                <w:sz w:val="24"/>
                <w:szCs w:val="24"/>
                <w:lang w:eastAsia="zh-CN"/>
              </w:rPr>
              <w:t>营业执照范围内包含销售或生产家具。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3" w:type="dxa"/>
            <w:vMerge w:val="continue"/>
            <w:noWrap w:val="0"/>
            <w:vAlign w:val="center"/>
          </w:tcPr>
          <w:p>
            <w:pPr>
              <w:kinsoku/>
              <w:overflowPunct/>
              <w:topLinePunct w:val="0"/>
              <w:bidi w:val="0"/>
              <w:spacing w:after="0" w:line="560" w:lineRule="exact"/>
              <w:jc w:val="center"/>
              <w:rPr>
                <w:rFonts w:ascii="宋体" w:hAnsi="宋体" w:eastAsia="宋体"/>
                <w:color w:val="000000"/>
                <w:sz w:val="24"/>
                <w:szCs w:val="24"/>
              </w:rPr>
            </w:pPr>
          </w:p>
        </w:tc>
        <w:tc>
          <w:tcPr>
            <w:tcW w:w="1501" w:type="dxa"/>
            <w:vMerge w:val="continue"/>
            <w:noWrap w:val="0"/>
            <w:vAlign w:val="center"/>
          </w:tcPr>
          <w:p>
            <w:pPr>
              <w:kinsoku/>
              <w:overflowPunct/>
              <w:topLinePunct w:val="0"/>
              <w:bidi w:val="0"/>
              <w:spacing w:after="0" w:line="560" w:lineRule="exact"/>
              <w:jc w:val="center"/>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hint="eastAsia" w:ascii="宋体" w:hAnsi="宋体" w:eastAsia="宋体"/>
                <w:color w:val="000000"/>
                <w:sz w:val="24"/>
                <w:szCs w:val="24"/>
              </w:rPr>
            </w:pPr>
            <w:r>
              <w:rPr>
                <w:rFonts w:hint="eastAsia" w:ascii="宋体" w:hAnsi="宋体" w:eastAsia="宋体"/>
                <w:color w:val="000000"/>
                <w:sz w:val="24"/>
                <w:szCs w:val="24"/>
              </w:rPr>
              <w:t>财务要求</w:t>
            </w:r>
          </w:p>
        </w:tc>
        <w:tc>
          <w:tcPr>
            <w:tcW w:w="6109" w:type="dxa"/>
            <w:noWrap w:val="0"/>
            <w:vAlign w:val="top"/>
          </w:tcPr>
          <w:p>
            <w:pPr>
              <w:kinsoku/>
              <w:overflowPunct/>
              <w:topLinePunct w:val="0"/>
              <w:bidi w:val="0"/>
              <w:spacing w:after="0" w:line="560" w:lineRule="exact"/>
              <w:rPr>
                <w:rFonts w:hint="eastAsia" w:ascii="宋体" w:hAnsi="宋体" w:cs="宋体"/>
                <w:kern w:val="0"/>
                <w:sz w:val="24"/>
                <w:szCs w:val="24"/>
                <w:lang w:eastAsia="zh-CN"/>
              </w:rPr>
            </w:pPr>
            <w:r>
              <w:rPr>
                <w:rFonts w:hint="eastAsia" w:ascii="宋体" w:hAnsi="宋体" w:cs="宋体"/>
                <w:kern w:val="0"/>
                <w:sz w:val="24"/>
                <w:szCs w:val="24"/>
                <w:lang w:eastAsia="zh-CN"/>
              </w:rPr>
              <w:t>企业</w:t>
            </w:r>
            <w:r>
              <w:rPr>
                <w:rFonts w:hint="eastAsia" w:ascii="宋体" w:hAnsi="宋体" w:cs="宋体"/>
                <w:kern w:val="0"/>
                <w:sz w:val="24"/>
                <w:szCs w:val="24"/>
              </w:rPr>
              <w:t>近3年（201</w:t>
            </w:r>
            <w:r>
              <w:rPr>
                <w:rFonts w:hint="eastAsia" w:ascii="宋体" w:hAnsi="宋体" w:cs="宋体"/>
                <w:kern w:val="0"/>
                <w:sz w:val="24"/>
                <w:szCs w:val="24"/>
                <w:lang w:val="en-US" w:eastAsia="zh-CN"/>
              </w:rPr>
              <w:t>9年1月1日</w:t>
            </w:r>
            <w:r>
              <w:rPr>
                <w:rFonts w:hint="eastAsia" w:ascii="宋体" w:hAnsi="宋体" w:cs="宋体"/>
                <w:kern w:val="0"/>
                <w:sz w:val="24"/>
                <w:szCs w:val="24"/>
              </w:rPr>
              <w:t xml:space="preserve"> 年至20</w:t>
            </w:r>
            <w:r>
              <w:rPr>
                <w:rFonts w:hint="eastAsia" w:ascii="宋体" w:hAnsi="宋体" w:cs="宋体"/>
                <w:kern w:val="0"/>
                <w:sz w:val="24"/>
                <w:szCs w:val="24"/>
                <w:lang w:val="en-US" w:eastAsia="zh-CN"/>
              </w:rPr>
              <w:t>21</w:t>
            </w:r>
            <w:r>
              <w:rPr>
                <w:rFonts w:hint="eastAsia" w:ascii="宋体" w:hAnsi="宋体" w:cs="宋体"/>
                <w:kern w:val="0"/>
                <w:sz w:val="24"/>
                <w:szCs w:val="24"/>
              </w:rPr>
              <w:t>年</w:t>
            </w:r>
            <w:r>
              <w:rPr>
                <w:rFonts w:hint="eastAsia" w:ascii="宋体" w:hAnsi="宋体" w:cs="宋体"/>
                <w:kern w:val="0"/>
                <w:sz w:val="24"/>
                <w:szCs w:val="24"/>
                <w:lang w:val="en-US" w:eastAsia="zh-CN"/>
              </w:rPr>
              <w:t>12月31日</w:t>
            </w:r>
            <w:r>
              <w:rPr>
                <w:rFonts w:hint="eastAsia" w:ascii="宋体" w:hAnsi="宋体" w:cs="宋体"/>
                <w:kern w:val="0"/>
                <w:sz w:val="24"/>
                <w:szCs w:val="24"/>
              </w:rPr>
              <w:t>）财务状况均无亏损（新成立企业不满足比选人年度要求的，投标文件只提供成立后的资料</w:t>
            </w:r>
            <w:r>
              <w:rPr>
                <w:rFonts w:hint="eastAsia" w:ascii="宋体" w:hAnsi="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23" w:type="dxa"/>
            <w:noWrap w:val="0"/>
            <w:vAlign w:val="center"/>
          </w:tcPr>
          <w:p>
            <w:pPr>
              <w:kinsoku/>
              <w:overflowPunct/>
              <w:topLinePunct w:val="0"/>
              <w:bidi w:val="0"/>
              <w:spacing w:after="0" w:line="560" w:lineRule="exact"/>
              <w:jc w:val="center"/>
              <w:rPr>
                <w:rFonts w:ascii="宋体" w:hAnsi="宋体" w:eastAsia="宋体"/>
                <w:color w:val="000000"/>
                <w:sz w:val="24"/>
                <w:szCs w:val="24"/>
              </w:rPr>
            </w:pPr>
          </w:p>
        </w:tc>
        <w:tc>
          <w:tcPr>
            <w:tcW w:w="1501" w:type="dxa"/>
            <w:noWrap w:val="0"/>
            <w:vAlign w:val="center"/>
          </w:tcPr>
          <w:p>
            <w:pPr>
              <w:kinsoku/>
              <w:overflowPunct/>
              <w:topLinePunct w:val="0"/>
              <w:bidi w:val="0"/>
              <w:spacing w:after="0" w:line="560" w:lineRule="exact"/>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ascii="宋体" w:hAnsi="宋体" w:eastAsia="宋体"/>
                <w:color w:val="000000"/>
                <w:sz w:val="24"/>
                <w:szCs w:val="24"/>
              </w:rPr>
              <w:t>信誉</w:t>
            </w:r>
            <w:r>
              <w:rPr>
                <w:rFonts w:hint="eastAsia" w:ascii="宋体" w:hAnsi="宋体" w:eastAsia="宋体"/>
                <w:color w:val="000000"/>
                <w:sz w:val="24"/>
                <w:szCs w:val="24"/>
              </w:rPr>
              <w:t>要求</w:t>
            </w:r>
          </w:p>
        </w:tc>
        <w:tc>
          <w:tcPr>
            <w:tcW w:w="6109" w:type="dxa"/>
            <w:noWrap w:val="0"/>
            <w:vAlign w:val="top"/>
          </w:tcPr>
          <w:p>
            <w:pPr>
              <w:kinsoku/>
              <w:overflowPunct/>
              <w:topLinePunct w:val="0"/>
              <w:bidi w:val="0"/>
              <w:spacing w:after="0" w:line="560" w:lineRule="exact"/>
              <w:rPr>
                <w:rFonts w:hint="eastAsia" w:ascii="宋体" w:hAnsi="宋体" w:cs="宋体"/>
                <w:kern w:val="0"/>
                <w:sz w:val="24"/>
                <w:szCs w:val="24"/>
              </w:rPr>
            </w:pPr>
            <w:r>
              <w:rPr>
                <w:rFonts w:hint="eastAsia" w:ascii="宋体" w:hAnsi="宋体" w:cs="宋体"/>
                <w:kern w:val="0"/>
                <w:sz w:val="24"/>
                <w:szCs w:val="24"/>
              </w:rPr>
              <w:t>参加本次采购活动前三年内，在经营活动中没有重大违法违规记录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923" w:type="dxa"/>
            <w:vMerge w:val="restart"/>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.1.3</w:t>
            </w:r>
          </w:p>
        </w:tc>
        <w:tc>
          <w:tcPr>
            <w:tcW w:w="1501" w:type="dxa"/>
            <w:vMerge w:val="restart"/>
            <w:noWrap w:val="0"/>
            <w:vAlign w:val="center"/>
          </w:tcPr>
          <w:p>
            <w:pPr>
              <w:kinsoku/>
              <w:overflowPunct/>
              <w:topLinePunct w:val="0"/>
              <w:bidi w:val="0"/>
              <w:spacing w:after="0" w:line="560" w:lineRule="exact"/>
              <w:jc w:val="center"/>
              <w:rPr>
                <w:rFonts w:hint="eastAsia" w:ascii="宋体" w:hAnsi="宋体" w:eastAsia="宋体"/>
                <w:color w:val="000000"/>
                <w:sz w:val="24"/>
                <w:szCs w:val="24"/>
              </w:rPr>
            </w:pPr>
            <w:r>
              <w:rPr>
                <w:rFonts w:ascii="宋体" w:hAnsi="宋体" w:eastAsia="宋体"/>
                <w:color w:val="000000"/>
                <w:sz w:val="24"/>
                <w:szCs w:val="24"/>
              </w:rPr>
              <w:t>响应性</w:t>
            </w:r>
          </w:p>
          <w:p>
            <w:pPr>
              <w:kinsoku/>
              <w:overflowPunct/>
              <w:topLinePunct w:val="0"/>
              <w:bidi w:val="0"/>
              <w:spacing w:after="0" w:line="560" w:lineRule="exact"/>
              <w:jc w:val="center"/>
              <w:rPr>
                <w:rFonts w:ascii="宋体" w:hAnsi="宋体" w:eastAsia="宋体"/>
                <w:color w:val="000000"/>
                <w:sz w:val="24"/>
                <w:szCs w:val="24"/>
              </w:rPr>
            </w:pPr>
            <w:r>
              <w:rPr>
                <w:rFonts w:ascii="宋体" w:hAnsi="宋体" w:eastAsia="宋体"/>
                <w:color w:val="000000"/>
                <w:sz w:val="24"/>
                <w:szCs w:val="24"/>
              </w:rPr>
              <w:t>评审标准</w:t>
            </w: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hint="eastAsia" w:ascii="宋体" w:hAnsi="宋体" w:eastAsia="宋体"/>
                <w:color w:val="000000"/>
                <w:sz w:val="24"/>
                <w:szCs w:val="24"/>
              </w:rPr>
              <w:t>最高限价</w:t>
            </w:r>
          </w:p>
        </w:tc>
        <w:tc>
          <w:tcPr>
            <w:tcW w:w="6109" w:type="dxa"/>
            <w:noWrap w:val="0"/>
            <w:vAlign w:val="center"/>
          </w:tcPr>
          <w:p>
            <w:pPr>
              <w:kinsoku/>
              <w:overflowPunct/>
              <w:topLinePunct w:val="0"/>
              <w:bidi w:val="0"/>
              <w:spacing w:after="0" w:line="560" w:lineRule="exact"/>
              <w:rPr>
                <w:rFonts w:hint="eastAsia" w:ascii="宋体" w:hAnsi="宋体" w:cs="宋体"/>
                <w:kern w:val="0"/>
                <w:sz w:val="24"/>
                <w:szCs w:val="24"/>
              </w:rPr>
            </w:pPr>
            <w:r>
              <w:rPr>
                <w:rFonts w:hint="eastAsia" w:ascii="宋体" w:hAnsi="宋体" w:cs="宋体"/>
                <w:kern w:val="0"/>
                <w:sz w:val="24"/>
                <w:szCs w:val="24"/>
                <w:lang w:eastAsia="zh-CN"/>
              </w:rPr>
              <w:t>是否高于最高</w:t>
            </w:r>
            <w:r>
              <w:rPr>
                <w:rFonts w:hint="eastAsia" w:ascii="宋体" w:hAnsi="宋体" w:cs="宋体"/>
                <w:kern w:val="0"/>
                <w:sz w:val="24"/>
                <w:szCs w:val="24"/>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23"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1501"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hint="eastAsia" w:ascii="宋体" w:hAnsi="宋体" w:eastAsia="宋体"/>
                <w:color w:val="000000"/>
                <w:sz w:val="24"/>
                <w:szCs w:val="24"/>
                <w:lang w:eastAsia="zh-CN"/>
              </w:rPr>
              <w:t>响应</w:t>
            </w:r>
            <w:r>
              <w:rPr>
                <w:rFonts w:ascii="宋体" w:hAnsi="宋体" w:eastAsia="宋体"/>
                <w:color w:val="000000"/>
                <w:sz w:val="24"/>
                <w:szCs w:val="24"/>
              </w:rPr>
              <w:t>内容</w:t>
            </w:r>
          </w:p>
        </w:tc>
        <w:tc>
          <w:tcPr>
            <w:tcW w:w="6109" w:type="dxa"/>
            <w:noWrap w:val="0"/>
            <w:vAlign w:val="top"/>
          </w:tcPr>
          <w:p>
            <w:pPr>
              <w:kinsoku/>
              <w:overflowPunct/>
              <w:topLinePunct w:val="0"/>
              <w:bidi w:val="0"/>
              <w:spacing w:after="0" w:line="560" w:lineRule="exact"/>
              <w:rPr>
                <w:rFonts w:hint="eastAsia" w:ascii="宋体" w:hAnsi="宋体" w:cs="宋体"/>
                <w:kern w:val="0"/>
                <w:sz w:val="24"/>
                <w:szCs w:val="24"/>
              </w:rPr>
            </w:pPr>
            <w:r>
              <w:rPr>
                <w:rFonts w:hint="eastAsia" w:ascii="宋体" w:hAnsi="宋体" w:cs="宋体"/>
                <w:kern w:val="0"/>
                <w:sz w:val="24"/>
                <w:szCs w:val="24"/>
                <w:lang w:eastAsia="zh-CN"/>
              </w:rPr>
              <w:t>完成竞争性谈判文件“第五章 采购清单”范围内全部家具的采购、运输、供货、安装及售后等全部工作。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23"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1501"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供货周期</w:t>
            </w:r>
          </w:p>
        </w:tc>
        <w:tc>
          <w:tcPr>
            <w:tcW w:w="6109" w:type="dxa"/>
            <w:noWrap w:val="0"/>
            <w:vAlign w:val="center"/>
          </w:tcPr>
          <w:p>
            <w:pPr>
              <w:kinsoku/>
              <w:overflowPunct/>
              <w:topLinePunct w:val="0"/>
              <w:bidi w:val="0"/>
              <w:spacing w:after="0" w:line="560" w:lineRule="exact"/>
              <w:rPr>
                <w:rFonts w:hint="default" w:ascii="宋体" w:hAnsi="宋体" w:cs="宋体"/>
                <w:kern w:val="0"/>
                <w:sz w:val="24"/>
                <w:szCs w:val="24"/>
                <w:lang w:val="en-US" w:eastAsia="zh-CN"/>
              </w:rPr>
            </w:pPr>
            <w:r>
              <w:rPr>
                <w:rFonts w:hint="eastAsia" w:ascii="宋体" w:hAnsi="宋体" w:cs="宋体"/>
                <w:kern w:val="0"/>
                <w:sz w:val="24"/>
                <w:szCs w:val="24"/>
                <w:lang w:val="en-US" w:eastAsia="zh-CN"/>
              </w:rPr>
              <w:t>15个日历天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23"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1501"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hint="eastAsia" w:ascii="宋体" w:hAnsi="宋体" w:eastAsia="宋体"/>
                <w:color w:val="000000"/>
                <w:sz w:val="24"/>
                <w:szCs w:val="24"/>
              </w:rPr>
              <w:t>质量要求</w:t>
            </w:r>
          </w:p>
        </w:tc>
        <w:tc>
          <w:tcPr>
            <w:tcW w:w="6109" w:type="dxa"/>
            <w:noWrap w:val="0"/>
            <w:vAlign w:val="center"/>
          </w:tcPr>
          <w:p>
            <w:pPr>
              <w:kinsoku/>
              <w:overflowPunct/>
              <w:topLinePunct w:val="0"/>
              <w:bidi w:val="0"/>
              <w:spacing w:after="0" w:line="560" w:lineRule="exact"/>
              <w:rPr>
                <w:rFonts w:hint="eastAsia" w:ascii="宋体" w:hAnsi="宋体" w:cs="宋体"/>
                <w:kern w:val="0"/>
                <w:sz w:val="24"/>
                <w:szCs w:val="24"/>
              </w:rPr>
            </w:pPr>
            <w:r>
              <w:rPr>
                <w:rFonts w:hint="eastAsia" w:ascii="宋体" w:hAnsi="宋体" w:cs="宋体"/>
                <w:kern w:val="0"/>
                <w:sz w:val="24"/>
                <w:szCs w:val="24"/>
              </w:rPr>
              <w:t>符合国家、行业现行合格标准要求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23"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1501"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ascii="宋体" w:hAnsi="宋体" w:eastAsia="宋体"/>
                <w:color w:val="000000"/>
                <w:sz w:val="24"/>
                <w:szCs w:val="24"/>
              </w:rPr>
            </w:pPr>
            <w:r>
              <w:rPr>
                <w:rFonts w:hint="eastAsia" w:ascii="宋体" w:hAnsi="宋体" w:eastAsia="宋体"/>
                <w:color w:val="000000"/>
                <w:sz w:val="24"/>
                <w:szCs w:val="24"/>
                <w:lang w:eastAsia="zh-CN"/>
              </w:rPr>
              <w:t>谈判</w:t>
            </w:r>
            <w:r>
              <w:rPr>
                <w:rFonts w:ascii="宋体" w:hAnsi="宋体" w:eastAsia="宋体"/>
                <w:color w:val="000000"/>
                <w:sz w:val="24"/>
                <w:szCs w:val="24"/>
              </w:rPr>
              <w:t>有效期</w:t>
            </w:r>
          </w:p>
        </w:tc>
        <w:tc>
          <w:tcPr>
            <w:tcW w:w="6109" w:type="dxa"/>
            <w:noWrap w:val="0"/>
            <w:vAlign w:val="center"/>
          </w:tcPr>
          <w:p>
            <w:pPr>
              <w:kinsoku/>
              <w:overflowPunct/>
              <w:topLinePunct w:val="0"/>
              <w:bidi w:val="0"/>
              <w:spacing w:after="0" w:line="560" w:lineRule="exact"/>
              <w:rPr>
                <w:rFonts w:hint="default" w:ascii="宋体" w:hAnsi="宋体" w:cs="宋体"/>
                <w:kern w:val="0"/>
                <w:sz w:val="24"/>
                <w:szCs w:val="24"/>
                <w:lang w:val="en-US" w:eastAsia="zh-CN"/>
              </w:rPr>
            </w:pPr>
            <w:r>
              <w:rPr>
                <w:rFonts w:hint="eastAsia" w:ascii="宋体" w:hAnsi="宋体" w:cs="宋体"/>
                <w:kern w:val="0"/>
                <w:sz w:val="24"/>
                <w:szCs w:val="24"/>
                <w:lang w:val="en-US" w:eastAsia="zh-CN"/>
              </w:rPr>
              <w:t>10个日历天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23"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1501" w:type="dxa"/>
            <w:vMerge w:val="continue"/>
            <w:noWrap w:val="0"/>
            <w:vAlign w:val="top"/>
          </w:tcPr>
          <w:p>
            <w:pPr>
              <w:kinsoku/>
              <w:overflowPunct/>
              <w:topLinePunct w:val="0"/>
              <w:bidi w:val="0"/>
              <w:spacing w:after="0" w:line="560" w:lineRule="exact"/>
              <w:rPr>
                <w:rFonts w:ascii="宋体" w:hAnsi="宋体" w:eastAsia="宋体"/>
                <w:color w:val="000000"/>
                <w:sz w:val="24"/>
                <w:szCs w:val="24"/>
              </w:rPr>
            </w:pPr>
          </w:p>
        </w:tc>
        <w:tc>
          <w:tcPr>
            <w:tcW w:w="2205" w:type="dxa"/>
            <w:noWrap w:val="0"/>
            <w:vAlign w:val="center"/>
          </w:tcPr>
          <w:p>
            <w:pPr>
              <w:kinsoku/>
              <w:overflowPunct/>
              <w:topLinePunct w:val="0"/>
              <w:bidi w:val="0"/>
              <w:spacing w:after="0" w:line="560" w:lineRule="exact"/>
              <w:jc w:val="center"/>
              <w:rPr>
                <w:rFonts w:hint="eastAsia" w:ascii="宋体" w:hAnsi="宋体" w:eastAsia="宋体"/>
                <w:color w:val="000000"/>
                <w:sz w:val="24"/>
                <w:szCs w:val="24"/>
              </w:rPr>
            </w:pPr>
            <w:r>
              <w:rPr>
                <w:rFonts w:hint="eastAsia" w:ascii="宋体" w:hAnsi="宋体" w:eastAsia="宋体"/>
                <w:color w:val="000000"/>
                <w:sz w:val="24"/>
                <w:szCs w:val="24"/>
              </w:rPr>
              <w:t>产品规格型号</w:t>
            </w:r>
          </w:p>
          <w:p>
            <w:pPr>
              <w:kinsoku/>
              <w:overflowPunct/>
              <w:topLinePunct w:val="0"/>
              <w:bidi w:val="0"/>
              <w:spacing w:after="0" w:line="560" w:lineRule="exact"/>
              <w:jc w:val="center"/>
              <w:rPr>
                <w:rFonts w:ascii="宋体" w:hAnsi="宋体" w:eastAsia="宋体"/>
                <w:color w:val="000000"/>
                <w:sz w:val="24"/>
                <w:szCs w:val="24"/>
              </w:rPr>
            </w:pPr>
            <w:r>
              <w:rPr>
                <w:rFonts w:ascii="宋体" w:hAnsi="宋体" w:eastAsia="宋体"/>
                <w:color w:val="000000"/>
                <w:sz w:val="24"/>
                <w:szCs w:val="24"/>
              </w:rPr>
              <w:t>要求</w:t>
            </w:r>
          </w:p>
        </w:tc>
        <w:tc>
          <w:tcPr>
            <w:tcW w:w="6109" w:type="dxa"/>
            <w:noWrap w:val="0"/>
            <w:vAlign w:val="center"/>
          </w:tcPr>
          <w:p>
            <w:pPr>
              <w:kinsoku/>
              <w:overflowPunct/>
              <w:topLinePunct w:val="0"/>
              <w:bidi w:val="0"/>
              <w:spacing w:after="0" w:line="560" w:lineRule="exact"/>
              <w:rPr>
                <w:rFonts w:hint="eastAsia" w:ascii="宋体" w:hAnsi="宋体" w:cs="宋体"/>
                <w:kern w:val="0"/>
                <w:sz w:val="24"/>
                <w:szCs w:val="24"/>
                <w:lang w:eastAsia="zh-CN"/>
              </w:rPr>
            </w:pPr>
            <w:r>
              <w:rPr>
                <w:rFonts w:hint="eastAsia" w:ascii="宋体" w:hAnsi="宋体" w:cs="宋体"/>
                <w:kern w:val="0"/>
                <w:sz w:val="24"/>
                <w:szCs w:val="24"/>
                <w:lang w:eastAsia="zh-CN"/>
              </w:rPr>
              <w:t>满足第五章“采购清单”规格型号的要求</w:t>
            </w:r>
          </w:p>
        </w:tc>
      </w:tr>
    </w:tbl>
    <w:p>
      <w:pPr>
        <w:kinsoku/>
        <w:overflowPunct/>
        <w:topLinePunct w:val="0"/>
        <w:bidi w:val="0"/>
        <w:spacing w:line="560" w:lineRule="exact"/>
        <w:rPr>
          <w:rFonts w:ascii="宋体" w:hAnsi="宋体"/>
          <w:szCs w:val="21"/>
        </w:rPr>
      </w:pPr>
      <w:r>
        <w:rPr>
          <w:rFonts w:hint="eastAsia" w:ascii="宋体" w:hAnsi="宋体"/>
          <w:szCs w:val="21"/>
        </w:rPr>
        <w:t>注：只有全部满足上述评审项目的申请文件才能通过符合性评审、资格审查及响应性评审。</w:t>
      </w:r>
    </w:p>
    <w:p>
      <w:pPr>
        <w:kinsoku/>
        <w:overflowPunct/>
        <w:topLinePunct w:val="0"/>
        <w:bidi w:val="0"/>
        <w:spacing w:line="560" w:lineRule="exact"/>
        <w:ind w:firstLine="480" w:firstLineChars="200"/>
        <w:jc w:val="left"/>
        <w:rPr>
          <w:rFonts w:ascii="宋体" w:hAnsi="宋体"/>
          <w:bCs/>
          <w:sz w:val="24"/>
        </w:rPr>
      </w:pPr>
      <w:r>
        <w:rPr>
          <w:rFonts w:hint="eastAsia" w:ascii="宋体" w:hAnsi="宋体"/>
          <w:bCs/>
          <w:sz w:val="24"/>
        </w:rPr>
        <w:t>(2)价格评审</w:t>
      </w:r>
    </w:p>
    <w:p>
      <w:pPr>
        <w:kinsoku/>
        <w:overflowPunct/>
        <w:topLinePunct w:val="0"/>
        <w:bidi w:val="0"/>
        <w:spacing w:line="560" w:lineRule="exact"/>
        <w:ind w:firstLine="480" w:firstLineChars="200"/>
        <w:rPr>
          <w:rFonts w:ascii="宋体" w:hAnsi="宋体"/>
          <w:bCs/>
          <w:sz w:val="24"/>
        </w:rPr>
      </w:pPr>
      <w:r>
        <w:rPr>
          <w:rFonts w:hint="eastAsia" w:ascii="宋体" w:hAnsi="宋体"/>
          <w:bCs/>
          <w:sz w:val="24"/>
        </w:rPr>
        <w:t>谈判小组详细分析、核准报价表（有二次报价的以二次报价表为准），检查其是否存在计算上或累加上的算术错误，修正错误的原则如下：</w:t>
      </w:r>
    </w:p>
    <w:p>
      <w:pPr>
        <w:numPr>
          <w:ilvl w:val="0"/>
          <w:numId w:val="0"/>
        </w:numPr>
        <w:kinsoku/>
        <w:overflowPunct/>
        <w:topLinePunct w:val="0"/>
        <w:bidi w:val="0"/>
        <w:spacing w:line="560" w:lineRule="exact"/>
        <w:ind w:firstLine="480" w:firstLineChars="200"/>
        <w:rPr>
          <w:rFonts w:ascii="宋体" w:hAnsi="宋体"/>
          <w:bCs/>
          <w:sz w:val="24"/>
        </w:rPr>
      </w:pPr>
      <w:r>
        <w:rPr>
          <w:rFonts w:hint="eastAsia" w:ascii="宋体" w:hAnsi="宋体"/>
          <w:bCs/>
          <w:sz w:val="24"/>
        </w:rPr>
        <w:t>大写金额和小写金额不一致的，以大写金额为准；</w:t>
      </w:r>
    </w:p>
    <w:p>
      <w:pPr>
        <w:numPr>
          <w:ilvl w:val="0"/>
          <w:numId w:val="0"/>
        </w:numPr>
        <w:kinsoku/>
        <w:overflowPunct/>
        <w:topLinePunct w:val="0"/>
        <w:bidi w:val="0"/>
        <w:spacing w:line="560" w:lineRule="exact"/>
        <w:ind w:firstLine="480" w:firstLineChars="200"/>
        <w:rPr>
          <w:rFonts w:ascii="宋体" w:hAnsi="宋体"/>
          <w:bCs/>
          <w:sz w:val="24"/>
        </w:rPr>
      </w:pPr>
      <w:r>
        <w:rPr>
          <w:rFonts w:hint="eastAsia" w:ascii="宋体" w:hAnsi="宋体"/>
          <w:bCs/>
          <w:sz w:val="24"/>
        </w:rPr>
        <w:t>总价金额与单价金额和数量乘积不一致的，以单价金额为准，但单价金额小数点有明显错误的除外；</w:t>
      </w:r>
    </w:p>
    <w:p>
      <w:pPr>
        <w:numPr>
          <w:ilvl w:val="0"/>
          <w:numId w:val="0"/>
        </w:numPr>
        <w:kinsoku/>
        <w:overflowPunct/>
        <w:topLinePunct w:val="0"/>
        <w:bidi w:val="0"/>
        <w:spacing w:line="560" w:lineRule="exact"/>
        <w:ind w:firstLine="480" w:firstLineChars="200"/>
        <w:rPr>
          <w:rFonts w:ascii="宋体" w:hAnsi="宋体"/>
          <w:bCs/>
          <w:sz w:val="24"/>
        </w:rPr>
      </w:pPr>
      <w:r>
        <w:rPr>
          <w:rFonts w:hint="eastAsia" w:ascii="宋体" w:hAnsi="宋体"/>
          <w:bCs/>
          <w:sz w:val="24"/>
        </w:rPr>
        <w:t>对不同文字文本响应文件的解释发生异议的，以中文文本为准；</w:t>
      </w:r>
    </w:p>
    <w:p>
      <w:pPr>
        <w:numPr>
          <w:ilvl w:val="0"/>
          <w:numId w:val="0"/>
        </w:numPr>
        <w:kinsoku/>
        <w:overflowPunct/>
        <w:topLinePunct w:val="0"/>
        <w:bidi w:val="0"/>
        <w:spacing w:line="560" w:lineRule="exact"/>
        <w:ind w:firstLine="480" w:firstLineChars="200"/>
        <w:rPr>
          <w:rFonts w:ascii="宋体" w:hAnsi="宋体"/>
          <w:bCs/>
          <w:sz w:val="24"/>
        </w:rPr>
      </w:pPr>
      <w:r>
        <w:rPr>
          <w:rFonts w:hint="eastAsia" w:ascii="宋体" w:hAnsi="宋体"/>
          <w:bCs/>
          <w:sz w:val="24"/>
        </w:rPr>
        <w:t>采购人需要的服务和附带备品、配件所需的费用，如果响应人是另外单独报价的，评分时计入报价总价。</w:t>
      </w:r>
    </w:p>
    <w:p>
      <w:pPr>
        <w:kinsoku/>
        <w:overflowPunct/>
        <w:topLinePunct w:val="0"/>
        <w:bidi w:val="0"/>
        <w:spacing w:line="560" w:lineRule="exact"/>
        <w:ind w:firstLine="480" w:firstLineChars="200"/>
        <w:rPr>
          <w:rFonts w:ascii="宋体" w:hAnsi="宋体"/>
          <w:bCs/>
          <w:sz w:val="24"/>
        </w:rPr>
      </w:pPr>
      <w:r>
        <w:rPr>
          <w:rFonts w:hint="eastAsia" w:ascii="宋体" w:hAnsi="宋体"/>
          <w:bCs/>
          <w:sz w:val="24"/>
        </w:rPr>
        <w:t>供货范围（包括设备和服务）缺漏项的调整，其调整价格为该项在其他有效报价中的最高报价。</w:t>
      </w:r>
    </w:p>
    <w:p>
      <w:pPr>
        <w:kinsoku/>
        <w:overflowPunct/>
        <w:topLinePunct w:val="0"/>
        <w:bidi w:val="0"/>
        <w:spacing w:line="560" w:lineRule="exact"/>
        <w:ind w:firstLine="480" w:firstLineChars="200"/>
        <w:rPr>
          <w:rFonts w:ascii="宋体" w:hAnsi="宋体"/>
          <w:bCs/>
          <w:sz w:val="24"/>
        </w:rPr>
      </w:pPr>
      <w:r>
        <w:rPr>
          <w:rFonts w:hint="eastAsia" w:ascii="宋体" w:hAnsi="宋体"/>
          <w:bCs/>
          <w:sz w:val="24"/>
        </w:rPr>
        <w:t>谈判小组将按照上述修正错误的方法调整响应文件中报价，调整后的价格对响应人具有约束力。如果响应人不接受修正后的报价，则其响应文件将被拒绝。</w:t>
      </w:r>
    </w:p>
    <w:p>
      <w:pPr>
        <w:kinsoku/>
        <w:overflowPunct/>
        <w:topLinePunct w:val="0"/>
        <w:bidi w:val="0"/>
        <w:spacing w:line="560" w:lineRule="exact"/>
        <w:ind w:firstLine="480" w:firstLineChars="200"/>
        <w:rPr>
          <w:rFonts w:ascii="宋体" w:hAnsi="宋体"/>
          <w:bCs/>
          <w:sz w:val="24"/>
        </w:rPr>
      </w:pPr>
      <w:r>
        <w:rPr>
          <w:rFonts w:hint="eastAsia" w:ascii="宋体" w:hAnsi="宋体"/>
          <w:bCs/>
          <w:sz w:val="24"/>
        </w:rPr>
        <w:t>（3）综合评审</w:t>
      </w:r>
    </w:p>
    <w:p>
      <w:pPr>
        <w:kinsoku/>
        <w:overflowPunct/>
        <w:topLinePunct w:val="0"/>
        <w:bidi w:val="0"/>
        <w:spacing w:line="560" w:lineRule="exact"/>
        <w:ind w:firstLine="480" w:firstLineChars="200"/>
        <w:rPr>
          <w:rFonts w:hint="eastAsia" w:ascii="宋体" w:hAnsi="宋体" w:cs="宋体"/>
          <w:sz w:val="24"/>
          <w:szCs w:val="24"/>
        </w:rPr>
      </w:pPr>
      <w:r>
        <w:rPr>
          <w:rFonts w:hint="eastAsia" w:ascii="宋体" w:hAnsi="宋体" w:cs="宋体"/>
          <w:sz w:val="24"/>
          <w:szCs w:val="24"/>
        </w:rPr>
        <w:t>谈判小组对通过符合性评审、资格审查及响应性评审的响应人的响应文件进行综合评审，评审按照下表的评分标准进行打分：</w:t>
      </w:r>
    </w:p>
    <w:tbl>
      <w:tblPr>
        <w:tblStyle w:val="17"/>
        <w:tblW w:w="0" w:type="auto"/>
        <w:jc w:val="center"/>
        <w:tblLayout w:type="fixed"/>
        <w:tblCellMar>
          <w:top w:w="0" w:type="dxa"/>
          <w:left w:w="0" w:type="dxa"/>
          <w:bottom w:w="0" w:type="dxa"/>
          <w:right w:w="0" w:type="dxa"/>
        </w:tblCellMar>
      </w:tblPr>
      <w:tblGrid>
        <w:gridCol w:w="722"/>
        <w:gridCol w:w="1215"/>
        <w:gridCol w:w="915"/>
        <w:gridCol w:w="705"/>
        <w:gridCol w:w="4635"/>
        <w:gridCol w:w="1306"/>
      </w:tblGrid>
      <w:tr>
        <w:tblPrEx>
          <w:tblCellMar>
            <w:top w:w="0" w:type="dxa"/>
            <w:left w:w="0" w:type="dxa"/>
            <w:bottom w:w="0" w:type="dxa"/>
            <w:right w:w="0" w:type="dxa"/>
          </w:tblCellMar>
        </w:tblPrEx>
        <w:trPr>
          <w:trHeight w:val="402"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ascii="宋体" w:hAnsi="宋体" w:cs="宋体"/>
                <w:kern w:val="0"/>
                <w:szCs w:val="21"/>
              </w:rPr>
            </w:pPr>
            <w:r>
              <w:rPr>
                <w:rFonts w:hint="eastAsia" w:ascii="宋体" w:hAnsi="宋体" w:cs="宋体"/>
                <w:kern w:val="0"/>
                <w:szCs w:val="21"/>
              </w:rPr>
              <w:t>序号</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ascii="宋体" w:hAnsi="宋体" w:cs="宋体"/>
                <w:kern w:val="0"/>
                <w:szCs w:val="21"/>
              </w:rPr>
            </w:pPr>
            <w:r>
              <w:rPr>
                <w:rFonts w:hint="eastAsia" w:ascii="宋体" w:hAnsi="宋体" w:cs="宋体"/>
                <w:kern w:val="0"/>
                <w:szCs w:val="21"/>
              </w:rPr>
              <w:t>评分因素</w:t>
            </w:r>
          </w:p>
          <w:p>
            <w:pPr>
              <w:widowControl/>
              <w:kinsoku/>
              <w:overflowPunct/>
              <w:topLinePunct w:val="0"/>
              <w:bidi w:val="0"/>
              <w:spacing w:line="560" w:lineRule="exact"/>
              <w:jc w:val="center"/>
              <w:rPr>
                <w:rFonts w:ascii="宋体" w:hAnsi="宋体" w:cs="宋体"/>
                <w:kern w:val="0"/>
                <w:szCs w:val="21"/>
              </w:rPr>
            </w:pPr>
            <w:r>
              <w:rPr>
                <w:rFonts w:hint="eastAsia" w:ascii="宋体" w:hAnsi="宋体" w:cs="宋体"/>
                <w:kern w:val="0"/>
                <w:szCs w:val="21"/>
              </w:rPr>
              <w:t>及权重</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ascii="宋体" w:hAnsi="宋体" w:cs="宋体"/>
                <w:kern w:val="0"/>
                <w:szCs w:val="21"/>
              </w:rPr>
            </w:pPr>
            <w:r>
              <w:rPr>
                <w:rFonts w:hint="eastAsia" w:ascii="宋体" w:hAnsi="宋体" w:cs="宋体"/>
                <w:kern w:val="0"/>
                <w:szCs w:val="21"/>
              </w:rPr>
              <w:t>分值</w:t>
            </w:r>
          </w:p>
        </w:tc>
        <w:tc>
          <w:tcPr>
            <w:tcW w:w="46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ascii="宋体" w:hAnsi="宋体" w:cs="宋体"/>
                <w:kern w:val="0"/>
                <w:szCs w:val="21"/>
              </w:rPr>
            </w:pPr>
            <w:r>
              <w:rPr>
                <w:rFonts w:hint="eastAsia" w:ascii="宋体" w:hAnsi="宋体" w:cs="宋体"/>
                <w:kern w:val="0"/>
                <w:szCs w:val="21"/>
              </w:rPr>
              <w:t>评分标准</w:t>
            </w:r>
          </w:p>
        </w:tc>
        <w:tc>
          <w:tcPr>
            <w:tcW w:w="13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ascii="宋体" w:hAnsi="宋体" w:cs="宋体"/>
                <w:kern w:val="0"/>
                <w:szCs w:val="21"/>
              </w:rPr>
            </w:pPr>
            <w:r>
              <w:rPr>
                <w:rFonts w:hint="eastAsia" w:ascii="宋体" w:hAnsi="宋体" w:cs="宋体"/>
                <w:kern w:val="0"/>
                <w:szCs w:val="21"/>
              </w:rPr>
              <w:t>备注</w:t>
            </w:r>
          </w:p>
        </w:tc>
      </w:tr>
      <w:tr>
        <w:tblPrEx>
          <w:tblCellMar>
            <w:top w:w="0" w:type="dxa"/>
            <w:left w:w="0" w:type="dxa"/>
            <w:bottom w:w="0" w:type="dxa"/>
            <w:right w:w="0" w:type="dxa"/>
          </w:tblCellMar>
        </w:tblPrEx>
        <w:trPr>
          <w:trHeight w:val="489" w:hRule="atLeast"/>
          <w:jc w:val="center"/>
        </w:trPr>
        <w:tc>
          <w:tcPr>
            <w:tcW w:w="722"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ascii="宋体" w:hAnsi="宋体" w:cs="宋体"/>
                <w:kern w:val="0"/>
                <w:szCs w:val="21"/>
              </w:rPr>
            </w:pPr>
            <w:r>
              <w:rPr>
                <w:rFonts w:hint="eastAsia" w:ascii="宋体" w:hAnsi="宋体" w:cs="宋体"/>
                <w:kern w:val="0"/>
                <w:szCs w:val="21"/>
              </w:rPr>
              <w:t>1</w:t>
            </w:r>
          </w:p>
        </w:tc>
        <w:tc>
          <w:tcPr>
            <w:tcW w:w="2130" w:type="dxa"/>
            <w:gridSpan w:val="2"/>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hint="eastAsia" w:ascii="宋体" w:hAnsi="宋体" w:cs="宋体"/>
                <w:kern w:val="0"/>
                <w:szCs w:val="21"/>
              </w:rPr>
            </w:pPr>
            <w:r>
              <w:rPr>
                <w:rFonts w:hint="eastAsia" w:ascii="宋体" w:hAnsi="宋体" w:cs="宋体"/>
                <w:kern w:val="0"/>
                <w:szCs w:val="21"/>
              </w:rPr>
              <w:t>投标报价</w:t>
            </w:r>
          </w:p>
          <w:p>
            <w:pPr>
              <w:widowControl/>
              <w:kinsoku/>
              <w:overflowPunct/>
              <w:topLinePunct w:val="0"/>
              <w:bidi w:val="0"/>
              <w:spacing w:line="560" w:lineRule="exact"/>
              <w:jc w:val="center"/>
              <w:rPr>
                <w:rFonts w:hint="eastAsia" w:ascii="宋体" w:hAnsi="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45%</w:t>
            </w:r>
            <w:r>
              <w:rPr>
                <w:rFonts w:hint="eastAsia" w:ascii="宋体" w:hAnsi="宋体" w:cs="宋体"/>
                <w:kern w:val="0"/>
                <w:szCs w:val="21"/>
                <w:lang w:eastAsia="zh-CN"/>
              </w:rPr>
              <w:t>）</w:t>
            </w:r>
          </w:p>
          <w:p>
            <w:pPr>
              <w:widowControl/>
              <w:kinsoku/>
              <w:overflowPunct/>
              <w:topLinePunct w:val="0"/>
              <w:bidi w:val="0"/>
              <w:spacing w:line="560" w:lineRule="exact"/>
              <w:jc w:val="center"/>
              <w:rPr>
                <w:rFonts w:hint="eastAsia" w:ascii="宋体" w:hAnsi="宋体" w:cs="宋体"/>
                <w:kern w:val="0"/>
                <w:szCs w:val="21"/>
              </w:rPr>
            </w:pPr>
          </w:p>
        </w:tc>
        <w:tc>
          <w:tcPr>
            <w:tcW w:w="70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ascii="宋体" w:hAnsi="宋体" w:cs="宋体"/>
                <w:kern w:val="0"/>
                <w:szCs w:val="21"/>
              </w:rPr>
            </w:pPr>
            <w:r>
              <w:rPr>
                <w:rFonts w:hint="eastAsia" w:ascii="宋体" w:hAnsi="宋体" w:cs="宋体"/>
                <w:kern w:val="0"/>
                <w:szCs w:val="21"/>
                <w:lang w:val="en-US" w:eastAsia="zh-CN"/>
              </w:rPr>
              <w:t>45</w:t>
            </w:r>
            <w:r>
              <w:rPr>
                <w:rFonts w:hint="eastAsia" w:ascii="宋体" w:hAnsi="宋体" w:cs="宋体"/>
                <w:kern w:val="0"/>
                <w:szCs w:val="21"/>
              </w:rPr>
              <w:t>分</w:t>
            </w:r>
          </w:p>
        </w:tc>
        <w:tc>
          <w:tcPr>
            <w:tcW w:w="463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ascii="宋体" w:hAnsi="宋体" w:cs="宋体"/>
                <w:kern w:val="0"/>
                <w:szCs w:val="21"/>
              </w:rPr>
            </w:pPr>
            <w:r>
              <w:rPr>
                <w:rFonts w:hint="eastAsia" w:ascii="宋体" w:hAnsi="宋体" w:cs="宋体"/>
                <w:kern w:val="0"/>
                <w:szCs w:val="21"/>
              </w:rPr>
              <w:t>以所有有效投标报价的算术平均值为评标基准价。投标报价等于评标基准价的得</w:t>
            </w:r>
            <w:r>
              <w:rPr>
                <w:rFonts w:hint="eastAsia" w:ascii="宋体" w:hAnsi="宋体" w:cs="宋体"/>
                <w:kern w:val="0"/>
                <w:szCs w:val="21"/>
                <w:lang w:val="en-US" w:eastAsia="zh-CN"/>
              </w:rPr>
              <w:t>5</w:t>
            </w:r>
            <w:r>
              <w:rPr>
                <w:rFonts w:hint="eastAsia" w:ascii="宋体" w:hAnsi="宋体" w:cs="宋体"/>
                <w:kern w:val="0"/>
                <w:szCs w:val="21"/>
              </w:rPr>
              <w:t>0分，投标报价每高于评标基准价1%扣减</w:t>
            </w:r>
            <w:r>
              <w:rPr>
                <w:rFonts w:hint="eastAsia" w:ascii="宋体" w:hAnsi="宋体" w:cs="宋体"/>
                <w:kern w:val="0"/>
                <w:szCs w:val="21"/>
                <w:lang w:val="en-US" w:eastAsia="zh-CN"/>
              </w:rPr>
              <w:t>1</w:t>
            </w:r>
            <w:r>
              <w:rPr>
                <w:rFonts w:hint="eastAsia" w:ascii="宋体" w:hAnsi="宋体" w:cs="宋体"/>
                <w:kern w:val="0"/>
                <w:szCs w:val="21"/>
              </w:rPr>
              <w:t>分，</w:t>
            </w:r>
            <w:r>
              <w:rPr>
                <w:rFonts w:hint="eastAsia" w:ascii="宋体" w:hAnsi="宋体" w:cs="宋体"/>
                <w:kern w:val="0"/>
                <w:szCs w:val="21"/>
                <w:lang w:eastAsia="zh-CN"/>
              </w:rPr>
              <w:t>每低于评标基准价</w:t>
            </w:r>
            <w:r>
              <w:rPr>
                <w:rFonts w:hint="eastAsia" w:ascii="宋体" w:hAnsi="宋体" w:cs="宋体"/>
                <w:kern w:val="0"/>
                <w:szCs w:val="21"/>
                <w:lang w:val="en-US" w:eastAsia="zh-CN"/>
              </w:rPr>
              <w:t>1%扣减0.5分，</w:t>
            </w:r>
            <w:r>
              <w:rPr>
                <w:rFonts w:ascii="宋体" w:hAnsi="宋体" w:cs="宋体"/>
                <w:szCs w:val="21"/>
                <w:lang w:val="zh-CN"/>
              </w:rPr>
              <w:t>至扣完为止</w:t>
            </w:r>
            <w:r>
              <w:rPr>
                <w:rFonts w:hint="eastAsia" w:ascii="宋体" w:hAnsi="宋体" w:cs="宋体"/>
                <w:kern w:val="0"/>
                <w:szCs w:val="21"/>
                <w:lang w:val="zh-CN" w:eastAsia="zh-CN"/>
              </w:rPr>
              <w:t>。</w:t>
            </w:r>
            <w:r>
              <w:rPr>
                <w:rFonts w:ascii="宋体" w:hAnsi="宋体" w:cs="宋体"/>
                <w:szCs w:val="21"/>
                <w:lang w:val="zh-CN"/>
              </w:rPr>
              <w:t>注：不足1%的按1%计算。</w:t>
            </w:r>
          </w:p>
        </w:tc>
        <w:tc>
          <w:tcPr>
            <w:tcW w:w="1306"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ascii="宋体" w:hAnsi="宋体" w:cs="宋体"/>
                <w:kern w:val="0"/>
                <w:sz w:val="18"/>
                <w:szCs w:val="18"/>
              </w:rPr>
            </w:pPr>
          </w:p>
        </w:tc>
      </w:tr>
      <w:tr>
        <w:tblPrEx>
          <w:tblCellMar>
            <w:top w:w="0" w:type="dxa"/>
            <w:left w:w="0" w:type="dxa"/>
            <w:bottom w:w="0" w:type="dxa"/>
            <w:right w:w="0" w:type="dxa"/>
          </w:tblCellMar>
        </w:tblPrEx>
        <w:trPr>
          <w:trHeight w:val="489" w:hRule="atLeast"/>
          <w:jc w:val="center"/>
        </w:trPr>
        <w:tc>
          <w:tcPr>
            <w:tcW w:w="722"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2130" w:type="dxa"/>
            <w:gridSpan w:val="2"/>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家具材质</w:t>
            </w:r>
          </w:p>
        </w:tc>
        <w:tc>
          <w:tcPr>
            <w:tcW w:w="70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15分</w:t>
            </w:r>
          </w:p>
        </w:tc>
        <w:tc>
          <w:tcPr>
            <w:tcW w:w="463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柏木、橡胶木类材质家具价格占家具总价的70%及以上，加15分；松木材质家具价格占家具总价的70%及以上，不得分；其它情况，得5分。</w:t>
            </w:r>
          </w:p>
        </w:tc>
        <w:tc>
          <w:tcPr>
            <w:tcW w:w="1306"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ascii="宋体" w:hAnsi="宋体" w:cs="宋体"/>
                <w:kern w:val="0"/>
                <w:sz w:val="18"/>
                <w:szCs w:val="18"/>
              </w:rPr>
            </w:pPr>
          </w:p>
        </w:tc>
      </w:tr>
      <w:tr>
        <w:tblPrEx>
          <w:tblCellMar>
            <w:top w:w="0" w:type="dxa"/>
            <w:left w:w="0" w:type="dxa"/>
            <w:bottom w:w="0" w:type="dxa"/>
            <w:right w:w="0" w:type="dxa"/>
          </w:tblCellMar>
        </w:tblPrEx>
        <w:trPr>
          <w:trHeight w:val="396" w:hRule="atLeast"/>
          <w:jc w:val="center"/>
        </w:trPr>
        <w:tc>
          <w:tcPr>
            <w:tcW w:w="722"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121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hint="eastAsia" w:ascii="宋体" w:hAnsi="宋体" w:cs="宋体"/>
                <w:kern w:val="0"/>
                <w:szCs w:val="21"/>
                <w:lang w:eastAsia="zh-CN"/>
              </w:rPr>
            </w:pPr>
            <w:r>
              <w:rPr>
                <w:rFonts w:hint="eastAsia" w:ascii="宋体" w:hAnsi="宋体" w:cs="宋体"/>
                <w:kern w:val="0"/>
                <w:szCs w:val="21"/>
                <w:lang w:eastAsia="zh-CN"/>
              </w:rPr>
              <w:t>技术部分</w:t>
            </w:r>
          </w:p>
          <w:p>
            <w:pPr>
              <w:widowControl/>
              <w:kinsoku/>
              <w:overflowPunct/>
              <w:topLinePunct w:val="0"/>
              <w:bidi w:val="0"/>
              <w:spacing w:line="560" w:lineRule="exact"/>
              <w:jc w:val="center"/>
              <w:rPr>
                <w:rFonts w:hint="eastAsia" w:ascii="宋体" w:hAnsi="宋体" w:cs="宋体"/>
                <w:kern w:val="0"/>
                <w:szCs w:val="21"/>
                <w:lang w:eastAsia="zh-CN"/>
              </w:rPr>
            </w:pPr>
            <w:r>
              <w:rPr>
                <w:rFonts w:hint="eastAsia" w:ascii="宋体" w:hAnsi="宋体" w:cs="宋体"/>
                <w:kern w:val="0"/>
                <w:szCs w:val="21"/>
                <w:lang w:val="en-US" w:eastAsia="zh-CN"/>
              </w:rPr>
              <w:t>（20%）</w:t>
            </w:r>
          </w:p>
        </w:tc>
        <w:tc>
          <w:tcPr>
            <w:tcW w:w="9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eastAsia" w:ascii="宋体" w:hAnsi="宋体" w:cs="宋体"/>
                <w:kern w:val="0"/>
                <w:szCs w:val="21"/>
              </w:rPr>
            </w:pPr>
            <w:r>
              <w:rPr>
                <w:rFonts w:hint="eastAsia" w:ascii="宋体" w:hAnsi="宋体" w:cs="宋体"/>
                <w:kern w:val="0"/>
                <w:szCs w:val="21"/>
              </w:rPr>
              <w:t>加工</w:t>
            </w:r>
          </w:p>
          <w:p>
            <w:pPr>
              <w:widowControl/>
              <w:kinsoku/>
              <w:overflowPunct/>
              <w:topLinePunct w:val="0"/>
              <w:bidi w:val="0"/>
              <w:spacing w:line="560" w:lineRule="exact"/>
              <w:rPr>
                <w:rFonts w:hint="eastAsia" w:ascii="宋体" w:hAnsi="宋体" w:cs="宋体"/>
                <w:kern w:val="0"/>
                <w:szCs w:val="21"/>
                <w:lang w:val="en-US" w:eastAsia="zh-CN"/>
              </w:rPr>
            </w:pPr>
            <w:r>
              <w:rPr>
                <w:rFonts w:hint="eastAsia" w:ascii="宋体" w:hAnsi="宋体" w:cs="宋体"/>
                <w:kern w:val="0"/>
                <w:szCs w:val="21"/>
              </w:rPr>
              <w:t>工艺</w:t>
            </w:r>
          </w:p>
        </w:tc>
        <w:tc>
          <w:tcPr>
            <w:tcW w:w="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eastAsia" w:ascii="宋体" w:hAnsi="宋体" w:cs="宋体"/>
                <w:kern w:val="0"/>
                <w:szCs w:val="21"/>
              </w:rPr>
            </w:pPr>
            <w:r>
              <w:rPr>
                <w:rFonts w:hint="eastAsia" w:ascii="宋体" w:hAnsi="宋体" w:cs="宋体"/>
                <w:kern w:val="0"/>
                <w:szCs w:val="21"/>
              </w:rPr>
              <w:t>4分</w:t>
            </w:r>
          </w:p>
        </w:tc>
        <w:tc>
          <w:tcPr>
            <w:tcW w:w="46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eastAsia" w:ascii="宋体" w:hAnsi="宋体" w:cs="宋体"/>
                <w:kern w:val="0"/>
                <w:szCs w:val="21"/>
              </w:rPr>
            </w:pPr>
            <w:r>
              <w:rPr>
                <w:rFonts w:hint="eastAsia" w:ascii="宋体" w:hAnsi="宋体" w:cs="宋体"/>
                <w:kern w:val="0"/>
                <w:szCs w:val="21"/>
              </w:rPr>
              <w:t>根据投标人</w:t>
            </w:r>
            <w:r>
              <w:rPr>
                <w:rFonts w:hint="eastAsia" w:ascii="宋体" w:hAnsi="宋体" w:cs="宋体"/>
                <w:kern w:val="0"/>
                <w:szCs w:val="21"/>
                <w:lang w:eastAsia="zh-CN"/>
              </w:rPr>
              <w:t>提供的生产工艺视频和文字解说，对</w:t>
            </w:r>
            <w:r>
              <w:rPr>
                <w:rFonts w:hint="eastAsia" w:ascii="宋体" w:hAnsi="宋体" w:cs="宋体"/>
                <w:kern w:val="0"/>
                <w:szCs w:val="21"/>
              </w:rPr>
              <w:t>加工工艺的先进性、可靠性等（如具有完整、先进的生产线及检测设备等）综合比较评分，由专家在1分—4分区间予以打分。</w:t>
            </w:r>
          </w:p>
        </w:tc>
        <w:tc>
          <w:tcPr>
            <w:tcW w:w="1306"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ascii="宋体" w:hAnsi="宋体" w:cs="宋体"/>
                <w:kern w:val="0"/>
                <w:szCs w:val="21"/>
              </w:rPr>
            </w:pPr>
            <w:r>
              <w:rPr>
                <w:rFonts w:hint="eastAsia" w:ascii="宋体" w:hAnsi="宋体" w:cs="宋体"/>
                <w:b/>
                <w:bCs/>
                <w:kern w:val="0"/>
                <w:szCs w:val="21"/>
                <w:lang w:eastAsia="zh-CN"/>
              </w:rPr>
              <w:t>根据生产工艺视频和文字；根据</w:t>
            </w:r>
            <w:r>
              <w:rPr>
                <w:rFonts w:hint="eastAsia" w:ascii="宋体" w:hAnsi="宋体" w:cs="宋体"/>
                <w:b/>
                <w:bCs/>
                <w:kern w:val="0"/>
                <w:szCs w:val="21"/>
              </w:rPr>
              <w:t>主材、辅材、五金件</w:t>
            </w:r>
            <w:r>
              <w:rPr>
                <w:rFonts w:hint="eastAsia" w:ascii="宋体" w:hAnsi="宋体" w:cs="宋体"/>
                <w:b/>
                <w:bCs/>
                <w:kern w:val="0"/>
                <w:szCs w:val="21"/>
                <w:lang w:eastAsia="zh-CN"/>
              </w:rPr>
              <w:t>样品及</w:t>
            </w:r>
            <w:r>
              <w:rPr>
                <w:rFonts w:hint="eastAsia" w:ascii="宋体" w:hAnsi="宋体" w:cs="宋体"/>
                <w:b/>
                <w:bCs/>
                <w:kern w:val="0"/>
                <w:szCs w:val="21"/>
              </w:rPr>
              <w:t>检测报告原件。</w:t>
            </w:r>
          </w:p>
        </w:tc>
      </w:tr>
      <w:tr>
        <w:tblPrEx>
          <w:tblCellMar>
            <w:top w:w="0" w:type="dxa"/>
            <w:left w:w="0" w:type="dxa"/>
            <w:bottom w:w="0" w:type="dxa"/>
            <w:right w:w="0" w:type="dxa"/>
          </w:tblCellMar>
        </w:tblPrEx>
        <w:trPr>
          <w:trHeight w:val="396" w:hRule="atLeast"/>
          <w:jc w:val="center"/>
        </w:trPr>
        <w:tc>
          <w:tcPr>
            <w:tcW w:w="722" w:type="dxa"/>
            <w:vMerge w:val="continue"/>
            <w:tcBorders>
              <w:top w:val="single" w:color="auto" w:sz="4" w:space="0"/>
              <w:left w:val="single" w:color="auto" w:sz="4" w:space="0"/>
              <w:right w:val="single" w:color="000000" w:sz="4" w:space="0"/>
            </w:tcBorders>
            <w:noWrap w:val="0"/>
            <w:tcMar>
              <w:top w:w="0" w:type="dxa"/>
              <w:left w:w="108" w:type="dxa"/>
              <w:bottom w:w="0" w:type="dxa"/>
              <w:right w:w="108" w:type="dxa"/>
            </w:tcMar>
            <w:vAlign w:val="center"/>
          </w:tcPr>
          <w:p>
            <w:pPr>
              <w:kinsoku/>
              <w:overflowPunct/>
              <w:topLinePunct w:val="0"/>
              <w:bidi w:val="0"/>
              <w:spacing w:line="560" w:lineRule="exact"/>
            </w:pPr>
          </w:p>
        </w:tc>
        <w:tc>
          <w:tcPr>
            <w:tcW w:w="1215" w:type="dxa"/>
            <w:vMerge w:val="continue"/>
            <w:tcBorders>
              <w:top w:val="single" w:color="auto" w:sz="4" w:space="0"/>
              <w:left w:val="single" w:color="000000" w:sz="4" w:space="0"/>
              <w:right w:val="single" w:color="auto" w:sz="4" w:space="0"/>
            </w:tcBorders>
            <w:noWrap w:val="0"/>
            <w:tcMar>
              <w:top w:w="0" w:type="dxa"/>
              <w:left w:w="108" w:type="dxa"/>
              <w:bottom w:w="0" w:type="dxa"/>
              <w:right w:w="108" w:type="dxa"/>
            </w:tcMar>
            <w:vAlign w:val="center"/>
          </w:tcPr>
          <w:p>
            <w:pPr>
              <w:kinsoku/>
              <w:overflowPunct/>
              <w:topLinePunct w:val="0"/>
              <w:bidi w:val="0"/>
              <w:spacing w:line="560" w:lineRule="exact"/>
            </w:pPr>
          </w:p>
        </w:tc>
        <w:tc>
          <w:tcPr>
            <w:tcW w:w="9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eastAsia" w:ascii="宋体" w:hAnsi="宋体" w:cs="宋体"/>
                <w:kern w:val="0"/>
                <w:szCs w:val="21"/>
              </w:rPr>
            </w:pPr>
            <w:r>
              <w:rPr>
                <w:rFonts w:hint="eastAsia" w:ascii="宋体" w:hAnsi="宋体" w:cs="宋体"/>
                <w:kern w:val="0"/>
                <w:szCs w:val="21"/>
              </w:rPr>
              <w:t>主要</w:t>
            </w:r>
          </w:p>
          <w:p>
            <w:pPr>
              <w:widowControl/>
              <w:kinsoku/>
              <w:overflowPunct/>
              <w:topLinePunct w:val="0"/>
              <w:bidi w:val="0"/>
              <w:spacing w:line="560" w:lineRule="exact"/>
              <w:rPr>
                <w:rFonts w:hint="eastAsia" w:ascii="宋体" w:hAnsi="宋体" w:cs="宋体"/>
                <w:kern w:val="0"/>
                <w:szCs w:val="21"/>
              </w:rPr>
            </w:pPr>
            <w:r>
              <w:rPr>
                <w:rFonts w:hint="eastAsia" w:ascii="宋体" w:hAnsi="宋体" w:cs="宋体"/>
                <w:kern w:val="0"/>
                <w:szCs w:val="21"/>
              </w:rPr>
              <w:t>材料</w:t>
            </w:r>
          </w:p>
        </w:tc>
        <w:tc>
          <w:tcPr>
            <w:tcW w:w="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eastAsia"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分</w:t>
            </w:r>
          </w:p>
        </w:tc>
        <w:tc>
          <w:tcPr>
            <w:tcW w:w="4635" w:type="dxa"/>
            <w:tcBorders>
              <w:top w:val="single" w:color="auto"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eastAsia" w:ascii="宋体" w:hAnsi="宋体" w:cs="宋体"/>
                <w:kern w:val="0"/>
                <w:szCs w:val="21"/>
              </w:rPr>
            </w:pPr>
            <w:r>
              <w:rPr>
                <w:rFonts w:hint="eastAsia" w:ascii="宋体" w:hAnsi="宋体" w:cs="宋体"/>
                <w:kern w:val="0"/>
                <w:szCs w:val="21"/>
              </w:rPr>
              <w:t>对投标人投标产品的主材、辅材、五金件的品牌、产地、质量等级进行综合比较评分，由专家在1分—4分区间予以打分。</w:t>
            </w:r>
          </w:p>
        </w:tc>
        <w:tc>
          <w:tcPr>
            <w:tcW w:w="1306" w:type="dxa"/>
            <w:vMerge w:val="continue"/>
            <w:tcBorders>
              <w:top w:val="single" w:color="auto" w:sz="4" w:space="0"/>
              <w:left w:val="single" w:color="000000" w:sz="4" w:space="0"/>
              <w:right w:val="single" w:color="auto" w:sz="4" w:space="0"/>
            </w:tcBorders>
            <w:noWrap w:val="0"/>
            <w:tcMar>
              <w:top w:w="0" w:type="dxa"/>
              <w:left w:w="108" w:type="dxa"/>
              <w:bottom w:w="0" w:type="dxa"/>
              <w:right w:w="108" w:type="dxa"/>
            </w:tcMar>
            <w:vAlign w:val="center"/>
          </w:tcPr>
          <w:p>
            <w:pPr>
              <w:kinsoku/>
              <w:overflowPunct/>
              <w:topLinePunct w:val="0"/>
              <w:bidi w:val="0"/>
              <w:spacing w:line="560" w:lineRule="exact"/>
              <w:rPr>
                <w:rFonts w:ascii="宋体" w:hAnsi="宋体" w:cs="宋体"/>
                <w:kern w:val="0"/>
                <w:szCs w:val="21"/>
              </w:rPr>
            </w:pPr>
          </w:p>
        </w:tc>
      </w:tr>
      <w:tr>
        <w:tblPrEx>
          <w:tblCellMar>
            <w:top w:w="0" w:type="dxa"/>
            <w:left w:w="0" w:type="dxa"/>
            <w:bottom w:w="0" w:type="dxa"/>
            <w:right w:w="0" w:type="dxa"/>
          </w:tblCellMar>
        </w:tblPrEx>
        <w:trPr>
          <w:trHeight w:val="396" w:hRule="atLeast"/>
          <w:jc w:val="center"/>
        </w:trPr>
        <w:tc>
          <w:tcPr>
            <w:tcW w:w="722" w:type="dxa"/>
            <w:vMerge w:val="continue"/>
            <w:tcBorders>
              <w:left w:val="single" w:color="auto" w:sz="4" w:space="0"/>
              <w:right w:val="single" w:color="000000" w:sz="4" w:space="0"/>
            </w:tcBorders>
            <w:noWrap w:val="0"/>
            <w:tcMar>
              <w:top w:w="0" w:type="dxa"/>
              <w:left w:w="108" w:type="dxa"/>
              <w:bottom w:w="0" w:type="dxa"/>
              <w:right w:w="108" w:type="dxa"/>
            </w:tcMar>
            <w:vAlign w:val="center"/>
          </w:tcPr>
          <w:p>
            <w:pPr>
              <w:kinsoku/>
              <w:overflowPunct/>
              <w:topLinePunct w:val="0"/>
              <w:bidi w:val="0"/>
              <w:spacing w:line="560" w:lineRule="exact"/>
              <w:rPr>
                <w:rFonts w:ascii="宋体" w:hAnsi="宋体" w:cs="宋体"/>
                <w:kern w:val="0"/>
                <w:szCs w:val="21"/>
              </w:rPr>
            </w:pPr>
          </w:p>
        </w:tc>
        <w:tc>
          <w:tcPr>
            <w:tcW w:w="1215" w:type="dxa"/>
            <w:vMerge w:val="continue"/>
            <w:tcBorders>
              <w:left w:val="single" w:color="000000" w:sz="4" w:space="0"/>
              <w:right w:val="single" w:color="auto" w:sz="4" w:space="0"/>
            </w:tcBorders>
            <w:noWrap w:val="0"/>
            <w:tcMar>
              <w:top w:w="0" w:type="dxa"/>
              <w:left w:w="108" w:type="dxa"/>
              <w:bottom w:w="0" w:type="dxa"/>
              <w:right w:w="108" w:type="dxa"/>
            </w:tcMar>
            <w:vAlign w:val="center"/>
          </w:tcPr>
          <w:p>
            <w:pPr>
              <w:kinsoku/>
              <w:overflowPunct/>
              <w:topLinePunct w:val="0"/>
              <w:bidi w:val="0"/>
              <w:spacing w:line="560" w:lineRule="exact"/>
              <w:rPr>
                <w:rFonts w:ascii="宋体" w:hAnsi="宋体" w:cs="宋体"/>
                <w:kern w:val="0"/>
                <w:szCs w:val="21"/>
              </w:rPr>
            </w:pPr>
          </w:p>
        </w:tc>
        <w:tc>
          <w:tcPr>
            <w:tcW w:w="9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eastAsia" w:ascii="宋体" w:hAnsi="宋体" w:cs="宋体"/>
                <w:kern w:val="0"/>
                <w:szCs w:val="21"/>
              </w:rPr>
            </w:pPr>
            <w:r>
              <w:rPr>
                <w:rFonts w:hint="eastAsia" w:ascii="宋体" w:hAnsi="宋体" w:cs="宋体"/>
                <w:kern w:val="0"/>
                <w:szCs w:val="21"/>
              </w:rPr>
              <w:t>成品检</w:t>
            </w:r>
          </w:p>
          <w:p>
            <w:pPr>
              <w:widowControl/>
              <w:kinsoku/>
              <w:overflowPunct/>
              <w:topLinePunct w:val="0"/>
              <w:bidi w:val="0"/>
              <w:spacing w:line="560" w:lineRule="exact"/>
              <w:rPr>
                <w:rFonts w:hint="eastAsia" w:ascii="宋体" w:hAnsi="宋体" w:cs="宋体"/>
                <w:kern w:val="0"/>
                <w:szCs w:val="21"/>
              </w:rPr>
            </w:pPr>
            <w:r>
              <w:rPr>
                <w:rFonts w:hint="eastAsia" w:ascii="宋体" w:hAnsi="宋体" w:cs="宋体"/>
                <w:kern w:val="0"/>
                <w:szCs w:val="21"/>
              </w:rPr>
              <w:t>测报告</w:t>
            </w:r>
          </w:p>
        </w:tc>
        <w:tc>
          <w:tcPr>
            <w:tcW w:w="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eastAsia" w:ascii="宋体" w:hAnsi="宋体" w:cs="宋体"/>
                <w:kern w:val="0"/>
                <w:szCs w:val="21"/>
              </w:rPr>
            </w:pPr>
            <w:r>
              <w:rPr>
                <w:rFonts w:hint="eastAsia" w:ascii="宋体" w:hAnsi="宋体" w:cs="宋体"/>
                <w:kern w:val="0"/>
                <w:szCs w:val="21"/>
              </w:rPr>
              <w:t>2分</w:t>
            </w:r>
          </w:p>
        </w:tc>
        <w:tc>
          <w:tcPr>
            <w:tcW w:w="463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eastAsia"/>
              </w:rPr>
            </w:pPr>
            <w:r>
              <w:rPr>
                <w:rFonts w:hint="eastAsia"/>
              </w:rPr>
              <w:t>投标人提供近三年地市级或以上质量检测机构出具的成品家具质量监督检验报告三份及以上得2分，每少一份检验报告扣1分，扣完为止。</w:t>
            </w:r>
          </w:p>
        </w:tc>
        <w:tc>
          <w:tcPr>
            <w:tcW w:w="1306" w:type="dxa"/>
            <w:vMerge w:val="continue"/>
            <w:tcBorders>
              <w:left w:val="single" w:color="000000" w:sz="4" w:space="0"/>
              <w:right w:val="single" w:color="auto" w:sz="4" w:space="0"/>
            </w:tcBorders>
            <w:noWrap w:val="0"/>
            <w:tcMar>
              <w:top w:w="0" w:type="dxa"/>
              <w:left w:w="108" w:type="dxa"/>
              <w:bottom w:w="0" w:type="dxa"/>
              <w:right w:w="108" w:type="dxa"/>
            </w:tcMar>
            <w:vAlign w:val="center"/>
          </w:tcPr>
          <w:p>
            <w:pPr>
              <w:kinsoku/>
              <w:overflowPunct/>
              <w:topLinePunct w:val="0"/>
              <w:bidi w:val="0"/>
              <w:spacing w:line="560" w:lineRule="exact"/>
              <w:rPr>
                <w:rFonts w:ascii="宋体" w:hAnsi="宋体" w:cs="宋体"/>
                <w:kern w:val="0"/>
                <w:szCs w:val="21"/>
              </w:rPr>
            </w:pPr>
          </w:p>
        </w:tc>
      </w:tr>
      <w:tr>
        <w:tblPrEx>
          <w:tblCellMar>
            <w:top w:w="0" w:type="dxa"/>
            <w:left w:w="0" w:type="dxa"/>
            <w:bottom w:w="0" w:type="dxa"/>
            <w:right w:w="0" w:type="dxa"/>
          </w:tblCellMar>
        </w:tblPrEx>
        <w:trPr>
          <w:trHeight w:val="923" w:hRule="atLeast"/>
          <w:jc w:val="center"/>
        </w:trPr>
        <w:tc>
          <w:tcPr>
            <w:tcW w:w="722" w:type="dxa"/>
            <w:vMerge w:val="continue"/>
            <w:tcBorders>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kinsoku/>
              <w:overflowPunct/>
              <w:topLinePunct w:val="0"/>
              <w:bidi w:val="0"/>
              <w:spacing w:line="560" w:lineRule="exact"/>
              <w:rPr>
                <w:rFonts w:ascii="宋体" w:hAnsi="宋体" w:cs="宋体"/>
                <w:kern w:val="0"/>
                <w:szCs w:val="21"/>
              </w:rPr>
            </w:pPr>
          </w:p>
        </w:tc>
        <w:tc>
          <w:tcPr>
            <w:tcW w:w="1215" w:type="dxa"/>
            <w:vMerge w:val="continue"/>
            <w:tcBorders>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insoku/>
              <w:overflowPunct/>
              <w:topLinePunct w:val="0"/>
              <w:bidi w:val="0"/>
              <w:spacing w:line="560" w:lineRule="exact"/>
              <w:rPr>
                <w:rFonts w:ascii="宋体" w:hAnsi="宋体" w:cs="宋体"/>
                <w:kern w:val="0"/>
                <w:szCs w:val="21"/>
              </w:rPr>
            </w:pPr>
          </w:p>
        </w:tc>
        <w:tc>
          <w:tcPr>
            <w:tcW w:w="9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eastAsia" w:ascii="宋体" w:hAnsi="宋体" w:eastAsia="宋体" w:cs="宋体"/>
                <w:kern w:val="0"/>
                <w:szCs w:val="21"/>
                <w:lang w:eastAsia="zh-CN"/>
              </w:rPr>
            </w:pPr>
            <w:r>
              <w:rPr>
                <w:rFonts w:hint="eastAsia" w:ascii="宋体" w:hAnsi="宋体" w:cs="宋体"/>
                <w:kern w:val="0"/>
                <w:szCs w:val="21"/>
                <w:lang w:eastAsia="zh-CN"/>
              </w:rPr>
              <w:t>环保检测</w:t>
            </w:r>
          </w:p>
        </w:tc>
        <w:tc>
          <w:tcPr>
            <w:tcW w:w="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eastAsia" w:ascii="宋体" w:hAnsi="宋体" w:eastAsia="宋体" w:cs="宋体"/>
                <w:kern w:val="0"/>
                <w:szCs w:val="21"/>
                <w:lang w:val="en-US" w:eastAsia="zh-CN"/>
              </w:rPr>
            </w:pPr>
            <w:r>
              <w:rPr>
                <w:rFonts w:hint="eastAsia" w:ascii="宋体" w:hAnsi="宋体" w:cs="宋体"/>
                <w:kern w:val="0"/>
                <w:szCs w:val="21"/>
                <w:lang w:val="en-US" w:eastAsia="zh-CN"/>
              </w:rPr>
              <w:t>6分</w:t>
            </w:r>
          </w:p>
        </w:tc>
        <w:tc>
          <w:tcPr>
            <w:tcW w:w="463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pStyle w:val="2"/>
              <w:numPr>
                <w:ilvl w:val="0"/>
                <w:numId w:val="0"/>
              </w:numPr>
              <w:kinsoku/>
              <w:overflowPunct/>
              <w:topLinePunct w:val="0"/>
              <w:bidi w:val="0"/>
              <w:spacing w:line="560" w:lineRule="exact"/>
              <w:rPr>
                <w:rFonts w:hint="default"/>
                <w:lang w:val="en-US"/>
              </w:rPr>
            </w:pPr>
            <w:r>
              <w:rPr>
                <w:rFonts w:hint="eastAsia" w:ascii="Calibri" w:hAnsi="Calibri" w:eastAsia="宋体" w:cs="Times New Roman"/>
                <w:b w:val="0"/>
                <w:bCs w:val="0"/>
                <w:kern w:val="2"/>
                <w:sz w:val="21"/>
                <w:szCs w:val="22"/>
                <w:lang w:val="en-US" w:eastAsia="zh-CN" w:bidi="ar-SA"/>
              </w:rPr>
              <w:t xml:space="preserve">投标人提供主材供应商出厂国家环保认证的环保合格报告，由专家根据环保达标情况在0分—6分区间预以打分 </w:t>
            </w:r>
          </w:p>
        </w:tc>
        <w:tc>
          <w:tcPr>
            <w:tcW w:w="1306" w:type="dxa"/>
            <w:vMerge w:val="continue"/>
            <w:tcBorders>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insoku/>
              <w:overflowPunct/>
              <w:topLinePunct w:val="0"/>
              <w:bidi w:val="0"/>
              <w:spacing w:line="560" w:lineRule="exact"/>
              <w:rPr>
                <w:rFonts w:ascii="宋体" w:hAnsi="宋体" w:cs="宋体"/>
                <w:kern w:val="0"/>
                <w:szCs w:val="21"/>
              </w:rPr>
            </w:pPr>
          </w:p>
        </w:tc>
      </w:tr>
      <w:tr>
        <w:tblPrEx>
          <w:tblCellMar>
            <w:top w:w="0" w:type="dxa"/>
            <w:left w:w="0" w:type="dxa"/>
            <w:bottom w:w="0" w:type="dxa"/>
            <w:right w:w="0" w:type="dxa"/>
          </w:tblCellMar>
        </w:tblPrEx>
        <w:trPr>
          <w:trHeight w:val="1525"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hint="eastAsia" w:ascii="宋体" w:hAnsi="宋体" w:cs="宋体"/>
                <w:kern w:val="0"/>
                <w:szCs w:val="21"/>
              </w:rPr>
            </w:pPr>
            <w:r>
              <w:rPr>
                <w:rFonts w:hint="eastAsia" w:ascii="宋体" w:hAnsi="宋体" w:cs="宋体"/>
                <w:kern w:val="0"/>
                <w:szCs w:val="21"/>
              </w:rPr>
              <w:t>设计方案</w:t>
            </w:r>
          </w:p>
          <w:p>
            <w:pPr>
              <w:widowControl/>
              <w:kinsoku/>
              <w:overflowPunct/>
              <w:topLinePunct w:val="0"/>
              <w:bidi w:val="0"/>
              <w:spacing w:line="560" w:lineRule="exact"/>
              <w:jc w:val="center"/>
              <w:rPr>
                <w:rFonts w:hint="eastAsia" w:ascii="宋体" w:hAnsi="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10%</w:t>
            </w:r>
            <w:r>
              <w:rPr>
                <w:rFonts w:hint="eastAsia" w:ascii="宋体" w:hAnsi="宋体" w:cs="宋体"/>
                <w:kern w:val="0"/>
                <w:szCs w:val="21"/>
                <w:lang w:eastAsia="zh-CN"/>
              </w:rPr>
              <w:t>）</w:t>
            </w:r>
          </w:p>
          <w:p>
            <w:pPr>
              <w:widowControl/>
              <w:kinsoku/>
              <w:overflowPunct/>
              <w:topLinePunct w:val="0"/>
              <w:bidi w:val="0"/>
              <w:spacing w:line="560" w:lineRule="exact"/>
              <w:jc w:val="center"/>
              <w:rPr>
                <w:rFonts w:hint="eastAsia" w:ascii="宋体" w:hAnsi="宋体" w:cs="宋体"/>
                <w:kern w:val="0"/>
                <w:szCs w:val="21"/>
              </w:rPr>
            </w:pPr>
          </w:p>
        </w:tc>
        <w:tc>
          <w:tcPr>
            <w:tcW w:w="705"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ascii="宋体" w:hAnsi="宋体" w:cs="宋体"/>
                <w:kern w:val="0"/>
                <w:szCs w:val="21"/>
              </w:rPr>
            </w:pPr>
            <w:r>
              <w:rPr>
                <w:rFonts w:hint="eastAsia" w:ascii="宋体" w:hAnsi="宋体" w:cs="宋体"/>
                <w:kern w:val="0"/>
                <w:szCs w:val="21"/>
                <w:lang w:val="en-US" w:eastAsia="zh-CN"/>
              </w:rPr>
              <w:t>10</w:t>
            </w:r>
            <w:r>
              <w:rPr>
                <w:rFonts w:hint="eastAsia" w:ascii="宋体" w:hAnsi="宋体" w:cs="宋体"/>
                <w:kern w:val="0"/>
                <w:szCs w:val="21"/>
              </w:rPr>
              <w:t>分</w:t>
            </w:r>
          </w:p>
        </w:tc>
        <w:tc>
          <w:tcPr>
            <w:tcW w:w="46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hint="eastAsia" w:ascii="宋体" w:hAnsi="宋体" w:cs="宋体"/>
                <w:kern w:val="0"/>
                <w:szCs w:val="21"/>
                <w:lang w:eastAsia="zh-CN"/>
              </w:rPr>
            </w:pPr>
            <w:r>
              <w:rPr>
                <w:rFonts w:hint="eastAsia" w:ascii="宋体" w:hAnsi="宋体" w:cs="宋体"/>
                <w:kern w:val="0"/>
                <w:szCs w:val="21"/>
                <w:lang w:eastAsia="zh-CN"/>
              </w:rPr>
              <w:t>根据响应人产品配置款式、色彩搭配及空间规划设计方案、具备功能、精密度、感官度等是否满足采购方使用需求综合比较评分。</w:t>
            </w:r>
          </w:p>
          <w:p>
            <w:pPr>
              <w:widowControl/>
              <w:kinsoku/>
              <w:overflowPunct/>
              <w:topLinePunct w:val="0"/>
              <w:bidi w:val="0"/>
              <w:spacing w:line="560" w:lineRule="exact"/>
              <w:rPr>
                <w:rFonts w:hint="eastAsia" w:ascii="宋体" w:hAnsi="宋体" w:cs="宋体"/>
                <w:kern w:val="0"/>
                <w:szCs w:val="21"/>
                <w:lang w:eastAsia="zh-CN"/>
              </w:rPr>
            </w:pPr>
            <w:r>
              <w:rPr>
                <w:rFonts w:hint="eastAsia" w:ascii="宋体" w:hAnsi="宋体" w:cs="宋体"/>
                <w:kern w:val="0"/>
                <w:szCs w:val="21"/>
                <w:lang w:eastAsia="zh-CN"/>
              </w:rPr>
              <w:t>优区间：（</w:t>
            </w:r>
            <w:r>
              <w:rPr>
                <w:rFonts w:hint="eastAsia" w:ascii="宋体" w:hAnsi="宋体" w:cs="宋体"/>
                <w:kern w:val="0"/>
                <w:szCs w:val="21"/>
                <w:lang w:val="en-US" w:eastAsia="zh-CN"/>
              </w:rPr>
              <w:t>8</w:t>
            </w:r>
            <w:r>
              <w:rPr>
                <w:rFonts w:hint="eastAsia" w:ascii="宋体" w:hAnsi="宋体" w:cs="宋体"/>
                <w:kern w:val="0"/>
                <w:szCs w:val="21"/>
                <w:lang w:eastAsia="zh-CN"/>
              </w:rPr>
              <w:t>-</w:t>
            </w:r>
            <w:r>
              <w:rPr>
                <w:rFonts w:hint="eastAsia" w:ascii="宋体" w:hAnsi="宋体" w:cs="宋体"/>
                <w:kern w:val="0"/>
                <w:szCs w:val="21"/>
                <w:lang w:val="en-US" w:eastAsia="zh-CN"/>
              </w:rPr>
              <w:t>10</w:t>
            </w:r>
            <w:r>
              <w:rPr>
                <w:rFonts w:hint="eastAsia" w:ascii="宋体" w:hAnsi="宋体" w:cs="宋体"/>
                <w:kern w:val="0"/>
                <w:szCs w:val="21"/>
                <w:lang w:eastAsia="zh-CN"/>
              </w:rPr>
              <w:t>分）</w:t>
            </w:r>
          </w:p>
          <w:p>
            <w:pPr>
              <w:widowControl/>
              <w:kinsoku/>
              <w:overflowPunct/>
              <w:topLinePunct w:val="0"/>
              <w:bidi w:val="0"/>
              <w:spacing w:line="560" w:lineRule="exact"/>
              <w:rPr>
                <w:rFonts w:hint="eastAsia" w:ascii="宋体" w:hAnsi="宋体" w:cs="宋体"/>
                <w:kern w:val="0"/>
                <w:szCs w:val="21"/>
                <w:lang w:eastAsia="zh-CN"/>
              </w:rPr>
            </w:pPr>
            <w:r>
              <w:rPr>
                <w:rFonts w:hint="eastAsia" w:ascii="宋体" w:hAnsi="宋体" w:cs="宋体"/>
                <w:kern w:val="0"/>
                <w:szCs w:val="21"/>
                <w:lang w:eastAsia="zh-CN"/>
              </w:rPr>
              <w:t>良区间：（</w:t>
            </w:r>
            <w:r>
              <w:rPr>
                <w:rFonts w:hint="eastAsia" w:ascii="宋体" w:hAnsi="宋体" w:cs="宋体"/>
                <w:kern w:val="0"/>
                <w:szCs w:val="21"/>
                <w:lang w:val="en-US" w:eastAsia="zh-CN"/>
              </w:rPr>
              <w:t>5</w:t>
            </w:r>
            <w:r>
              <w:rPr>
                <w:rFonts w:hint="eastAsia" w:ascii="宋体" w:hAnsi="宋体" w:cs="宋体"/>
                <w:kern w:val="0"/>
                <w:szCs w:val="21"/>
                <w:lang w:eastAsia="zh-CN"/>
              </w:rPr>
              <w:t>-</w:t>
            </w:r>
            <w:r>
              <w:rPr>
                <w:rFonts w:hint="eastAsia" w:ascii="宋体" w:hAnsi="宋体" w:cs="宋体"/>
                <w:kern w:val="0"/>
                <w:szCs w:val="21"/>
                <w:lang w:val="en-US" w:eastAsia="zh-CN"/>
              </w:rPr>
              <w:t>8</w:t>
            </w:r>
            <w:r>
              <w:rPr>
                <w:rFonts w:hint="eastAsia" w:ascii="宋体" w:hAnsi="宋体" w:cs="宋体"/>
                <w:kern w:val="0"/>
                <w:szCs w:val="21"/>
                <w:lang w:eastAsia="zh-CN"/>
              </w:rPr>
              <w:t>分）</w:t>
            </w:r>
          </w:p>
          <w:p>
            <w:pPr>
              <w:widowControl/>
              <w:kinsoku/>
              <w:overflowPunct/>
              <w:topLinePunct w:val="0"/>
              <w:bidi w:val="0"/>
              <w:spacing w:line="560" w:lineRule="exact"/>
              <w:rPr>
                <w:rFonts w:ascii="宋体" w:hAnsi="宋体" w:cs="宋体"/>
                <w:kern w:val="0"/>
                <w:szCs w:val="21"/>
              </w:rPr>
            </w:pPr>
            <w:r>
              <w:rPr>
                <w:rFonts w:hint="eastAsia" w:ascii="宋体" w:hAnsi="宋体" w:cs="宋体"/>
                <w:kern w:val="0"/>
                <w:szCs w:val="21"/>
                <w:lang w:eastAsia="zh-CN"/>
              </w:rPr>
              <w:t>差区间：（</w:t>
            </w:r>
            <w:r>
              <w:rPr>
                <w:rFonts w:hint="eastAsia" w:ascii="宋体" w:hAnsi="宋体" w:cs="宋体"/>
                <w:kern w:val="0"/>
                <w:szCs w:val="21"/>
                <w:lang w:val="en-US" w:eastAsia="zh-CN"/>
              </w:rPr>
              <w:t>0</w:t>
            </w:r>
            <w:r>
              <w:rPr>
                <w:rFonts w:hint="eastAsia" w:ascii="宋体" w:hAnsi="宋体" w:cs="宋体"/>
                <w:kern w:val="0"/>
                <w:szCs w:val="21"/>
                <w:lang w:eastAsia="zh-CN"/>
              </w:rPr>
              <w:t>-</w:t>
            </w:r>
            <w:r>
              <w:rPr>
                <w:rFonts w:hint="eastAsia" w:ascii="宋体" w:hAnsi="宋体" w:cs="宋体"/>
                <w:kern w:val="0"/>
                <w:szCs w:val="21"/>
                <w:lang w:val="en-US" w:eastAsia="zh-CN"/>
              </w:rPr>
              <w:t>5</w:t>
            </w:r>
            <w:r>
              <w:rPr>
                <w:rFonts w:hint="eastAsia" w:ascii="宋体" w:hAnsi="宋体" w:cs="宋体"/>
                <w:kern w:val="0"/>
                <w:szCs w:val="21"/>
                <w:lang w:eastAsia="zh-CN"/>
              </w:rPr>
              <w:t>分）。</w:t>
            </w:r>
          </w:p>
        </w:tc>
        <w:tc>
          <w:tcPr>
            <w:tcW w:w="13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ascii="宋体" w:hAnsi="宋体" w:cs="宋体"/>
                <w:kern w:val="0"/>
                <w:szCs w:val="21"/>
              </w:rPr>
            </w:pPr>
            <w:r>
              <w:rPr>
                <w:rFonts w:hint="eastAsia" w:ascii="宋体" w:hAnsi="宋体" w:cs="宋体"/>
                <w:b/>
                <w:bCs/>
                <w:kern w:val="0"/>
                <w:szCs w:val="21"/>
                <w:lang w:eastAsia="zh-CN"/>
              </w:rPr>
              <w:t>根据设计方案、效果图或实物图，通过现场投影展示和解说。</w:t>
            </w:r>
          </w:p>
        </w:tc>
      </w:tr>
      <w:tr>
        <w:tblPrEx>
          <w:tblCellMar>
            <w:top w:w="0" w:type="dxa"/>
            <w:left w:w="0" w:type="dxa"/>
            <w:bottom w:w="0" w:type="dxa"/>
            <w:right w:w="0" w:type="dxa"/>
          </w:tblCellMar>
        </w:tblPrEx>
        <w:trPr>
          <w:trHeight w:val="1125"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hint="eastAsia" w:ascii="宋体" w:hAnsi="宋体" w:cs="宋体"/>
                <w:kern w:val="0"/>
                <w:szCs w:val="21"/>
              </w:rPr>
            </w:pPr>
            <w:r>
              <w:rPr>
                <w:rFonts w:hint="eastAsia" w:ascii="宋体" w:hAnsi="宋体" w:cs="宋体"/>
                <w:kern w:val="0"/>
                <w:szCs w:val="21"/>
              </w:rPr>
              <w:t>售后服务</w:t>
            </w:r>
          </w:p>
          <w:p>
            <w:pPr>
              <w:pStyle w:val="16"/>
              <w:kinsoku/>
              <w:overflowPunct/>
              <w:topLinePunct w:val="0"/>
              <w:bidi w:val="0"/>
              <w:spacing w:line="560" w:lineRule="exact"/>
              <w:rPr>
                <w:rFonts w:hint="eastAsia" w:ascii="宋体" w:hAnsi="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（10%）</w:t>
            </w:r>
          </w:p>
          <w:p>
            <w:pPr>
              <w:widowControl/>
              <w:kinsoku/>
              <w:overflowPunct/>
              <w:topLinePunct w:val="0"/>
              <w:bidi w:val="0"/>
              <w:spacing w:line="560" w:lineRule="exact"/>
              <w:jc w:val="center"/>
              <w:rPr>
                <w:rFonts w:ascii="宋体" w:hAnsi="宋体" w:cs="宋体"/>
                <w:kern w:val="0"/>
                <w:szCs w:val="21"/>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jc w:val="center"/>
              <w:rPr>
                <w:rFonts w:ascii="宋体" w:hAnsi="宋体" w:cs="宋体"/>
                <w:kern w:val="0"/>
                <w:szCs w:val="21"/>
              </w:rPr>
            </w:pPr>
            <w:r>
              <w:rPr>
                <w:rFonts w:hint="eastAsia" w:ascii="宋体" w:hAnsi="宋体" w:cs="宋体"/>
                <w:kern w:val="0"/>
                <w:szCs w:val="21"/>
                <w:lang w:val="en-US" w:eastAsia="zh-CN"/>
              </w:rPr>
              <w:t>10</w:t>
            </w:r>
            <w:r>
              <w:rPr>
                <w:rFonts w:hint="eastAsia" w:ascii="宋体" w:hAnsi="宋体" w:cs="宋体"/>
                <w:kern w:val="0"/>
                <w:szCs w:val="21"/>
              </w:rPr>
              <w:t>分</w:t>
            </w:r>
          </w:p>
        </w:tc>
        <w:tc>
          <w:tcPr>
            <w:tcW w:w="46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insoku/>
              <w:overflowPunct/>
              <w:topLinePunct w:val="0"/>
              <w:bidi w:val="0"/>
              <w:spacing w:line="560" w:lineRule="exact"/>
              <w:ind w:left="28"/>
              <w:jc w:val="left"/>
              <w:rPr>
                <w:rFonts w:ascii="宋体" w:hAnsi="宋体" w:cs="宋体"/>
                <w:kern w:val="0"/>
                <w:szCs w:val="21"/>
              </w:rPr>
            </w:pPr>
            <w:r>
              <w:rPr>
                <w:rFonts w:hint="eastAsia" w:ascii="宋体" w:hAnsi="宋体" w:cs="宋体"/>
                <w:kern w:val="0"/>
                <w:szCs w:val="21"/>
                <w:lang w:eastAsia="zh-CN"/>
              </w:rPr>
              <w:t>根据响应人售后服务承诺的内容、售后服务响应时间、质量保证措施、质量保证期限及增值服务等进行综合分析比较评分，优秀得</w:t>
            </w:r>
            <w:r>
              <w:rPr>
                <w:rFonts w:hint="eastAsia" w:ascii="宋体" w:hAnsi="宋体" w:cs="宋体"/>
                <w:kern w:val="0"/>
                <w:szCs w:val="21"/>
                <w:lang w:val="en-US" w:eastAsia="zh-CN"/>
              </w:rPr>
              <w:t>8-10</w:t>
            </w:r>
            <w:r>
              <w:rPr>
                <w:rFonts w:hint="eastAsia" w:ascii="宋体" w:hAnsi="宋体" w:cs="宋体"/>
                <w:kern w:val="0"/>
                <w:szCs w:val="21"/>
                <w:lang w:eastAsia="zh-CN"/>
              </w:rPr>
              <w:t>分，良得</w:t>
            </w:r>
            <w:r>
              <w:rPr>
                <w:rFonts w:hint="eastAsia" w:ascii="宋体" w:hAnsi="宋体" w:cs="宋体"/>
                <w:kern w:val="0"/>
                <w:szCs w:val="21"/>
                <w:lang w:val="en-US" w:eastAsia="zh-CN"/>
              </w:rPr>
              <w:t>5-8，</w:t>
            </w:r>
            <w:r>
              <w:rPr>
                <w:rFonts w:hint="eastAsia" w:ascii="宋体" w:hAnsi="宋体" w:cs="宋体"/>
                <w:kern w:val="0"/>
                <w:szCs w:val="21"/>
                <w:lang w:eastAsia="zh-CN"/>
              </w:rPr>
              <w:t>一般得</w:t>
            </w:r>
            <w:r>
              <w:rPr>
                <w:rFonts w:hint="eastAsia" w:ascii="宋体" w:hAnsi="宋体" w:cs="宋体"/>
                <w:kern w:val="0"/>
                <w:szCs w:val="21"/>
                <w:lang w:val="en-US" w:eastAsia="zh-CN"/>
              </w:rPr>
              <w:t>0-5</w:t>
            </w:r>
            <w:r>
              <w:rPr>
                <w:rFonts w:hint="eastAsia" w:ascii="宋体" w:hAnsi="宋体" w:cs="宋体"/>
                <w:kern w:val="0"/>
                <w:szCs w:val="21"/>
                <w:lang w:eastAsia="zh-CN"/>
              </w:rPr>
              <w:t>分。</w:t>
            </w:r>
          </w:p>
        </w:tc>
        <w:tc>
          <w:tcPr>
            <w:tcW w:w="13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kinsoku/>
              <w:overflowPunct/>
              <w:topLinePunct w:val="0"/>
              <w:bidi w:val="0"/>
              <w:spacing w:line="560" w:lineRule="exact"/>
              <w:rPr>
                <w:rFonts w:ascii="宋体" w:hAnsi="宋体" w:cs="宋体"/>
                <w:kern w:val="0"/>
                <w:szCs w:val="21"/>
              </w:rPr>
            </w:pPr>
          </w:p>
        </w:tc>
      </w:tr>
    </w:tbl>
    <w:p>
      <w:pPr>
        <w:kinsoku/>
        <w:overflowPunct/>
        <w:topLinePunct w:val="0"/>
        <w:bidi w:val="0"/>
        <w:spacing w:line="560" w:lineRule="exact"/>
        <w:ind w:firstLine="480" w:firstLineChars="200"/>
        <w:rPr>
          <w:rFonts w:hint="eastAsia" w:ascii="宋体" w:hAnsi="宋体"/>
          <w:bCs/>
          <w:sz w:val="24"/>
        </w:rPr>
      </w:pPr>
      <w:r>
        <w:rPr>
          <w:rFonts w:hint="eastAsia" w:ascii="宋体" w:hAnsi="宋体"/>
          <w:bCs/>
          <w:sz w:val="24"/>
        </w:rPr>
        <w:t>（</w:t>
      </w:r>
      <w:r>
        <w:rPr>
          <w:rFonts w:ascii="宋体" w:hAnsi="宋体"/>
          <w:bCs/>
          <w:sz w:val="24"/>
        </w:rPr>
        <w:t>4</w:t>
      </w:r>
      <w:r>
        <w:rPr>
          <w:rFonts w:hint="eastAsia" w:ascii="宋体" w:hAnsi="宋体"/>
          <w:bCs/>
          <w:sz w:val="24"/>
        </w:rPr>
        <w:t>）编写竞争性谈判报告</w:t>
      </w:r>
    </w:p>
    <w:p>
      <w:pPr>
        <w:kinsoku/>
        <w:overflowPunct/>
        <w:topLinePunct w:val="0"/>
        <w:bidi w:val="0"/>
        <w:spacing w:line="560" w:lineRule="exact"/>
        <w:ind w:firstLine="480" w:firstLineChars="200"/>
        <w:rPr>
          <w:rFonts w:ascii="宋体" w:hAnsi="宋体"/>
          <w:b/>
          <w:sz w:val="24"/>
        </w:rPr>
        <w:sectPr>
          <w:headerReference r:id="rId4" w:type="first"/>
          <w:footerReference r:id="rId6" w:type="first"/>
          <w:headerReference r:id="rId3" w:type="default"/>
          <w:footerReference r:id="rId5" w:type="default"/>
          <w:pgSz w:w="11906" w:h="16838"/>
          <w:pgMar w:top="1440" w:right="1800" w:bottom="1440" w:left="1800" w:header="779" w:footer="567" w:gutter="0"/>
          <w:pgBorders>
            <w:top w:val="none" w:sz="0" w:space="0"/>
            <w:left w:val="none" w:sz="0" w:space="0"/>
            <w:bottom w:val="none" w:sz="0" w:space="0"/>
            <w:right w:val="none" w:sz="0" w:space="0"/>
          </w:pgBorders>
          <w:pgNumType w:fmt="decimal" w:start="0"/>
          <w:cols w:space="720" w:num="1"/>
          <w:titlePg/>
          <w:docGrid w:linePitch="312" w:charSpace="0"/>
        </w:sectPr>
      </w:pPr>
      <w:r>
        <w:rPr>
          <w:rFonts w:hint="eastAsia" w:ascii="宋体" w:hAnsi="宋体"/>
          <w:bCs/>
          <w:sz w:val="24"/>
        </w:rPr>
        <w:t>谈判小组将根据经评审的响应人的综合得分由高至低进行排序，综合得分最高的前三位的响应人推荐为成交候选人。</w:t>
      </w:r>
      <w:bookmarkEnd w:id="250"/>
    </w:p>
    <w:p>
      <w:pPr>
        <w:kinsoku/>
        <w:overflowPunct/>
        <w:topLinePunct w:val="0"/>
        <w:bidi w:val="0"/>
        <w:spacing w:line="560" w:lineRule="exact"/>
        <w:rPr>
          <w:rFonts w:ascii="宋体" w:hAnsi="宋体"/>
          <w:sz w:val="24"/>
          <w:szCs w:val="24"/>
        </w:rPr>
      </w:pPr>
    </w:p>
    <w:p>
      <w:pPr>
        <w:pStyle w:val="4"/>
        <w:pageBreakBefore w:val="0"/>
        <w:widowControl w:val="0"/>
        <w:numPr>
          <w:ilvl w:val="0"/>
          <w:numId w:val="2"/>
        </w:numPr>
        <w:kinsoku/>
        <w:wordWrap/>
        <w:overflowPunct/>
        <w:topLinePunct w:val="0"/>
        <w:autoSpaceDE/>
        <w:autoSpaceDN/>
        <w:bidi w:val="0"/>
        <w:adjustRightInd/>
        <w:snapToGrid/>
        <w:spacing w:before="260" w:after="260" w:line="500" w:lineRule="exact"/>
        <w:jc w:val="center"/>
        <w:textAlignment w:val="auto"/>
        <w:rPr>
          <w:rFonts w:hint="eastAsia" w:ascii="宋体" w:hAnsi="宋体" w:cs="宋体"/>
          <w:szCs w:val="32"/>
        </w:rPr>
      </w:pPr>
      <w:bookmarkStart w:id="251" w:name="_Toc466206536"/>
      <w:r>
        <w:rPr>
          <w:rFonts w:hint="eastAsia" w:ascii="宋体" w:hAnsi="宋体" w:cs="宋体"/>
          <w:szCs w:val="32"/>
        </w:rPr>
        <w:t xml:space="preserve"> 合同条款及格式</w:t>
      </w:r>
      <w:bookmarkEnd w:id="251"/>
    </w:p>
    <w:p>
      <w:pPr>
        <w:pageBreakBefore w:val="0"/>
        <w:widowControl w:val="0"/>
        <w:kinsoku/>
        <w:wordWrap/>
        <w:overflowPunct/>
        <w:topLinePunct w:val="0"/>
        <w:autoSpaceDE/>
        <w:autoSpaceDN/>
        <w:bidi w:val="0"/>
        <w:adjustRightInd/>
        <w:snapToGrid/>
        <w:spacing w:after="0" w:line="500" w:lineRule="exact"/>
        <w:jc w:val="center"/>
        <w:textAlignment w:val="auto"/>
        <w:outlineLvl w:val="2"/>
        <w:rPr>
          <w:rFonts w:hint="eastAsia" w:ascii="宋体" w:hAnsi="宋体" w:eastAsia="宋体"/>
          <w:b/>
          <w:sz w:val="28"/>
          <w:szCs w:val="28"/>
          <w:lang w:eastAsia="zh-CN"/>
        </w:rPr>
      </w:pPr>
      <w:r>
        <w:rPr>
          <w:rFonts w:hint="eastAsia" w:ascii="宋体" w:hAnsi="宋体" w:eastAsia="宋体"/>
          <w:b/>
          <w:sz w:val="28"/>
          <w:szCs w:val="28"/>
          <w:lang w:eastAsia="zh-CN"/>
        </w:rPr>
        <w:t>（一）合同协议书</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cs="宋体"/>
          <w:sz w:val="24"/>
        </w:rPr>
        <w:t>合同编号：XXXX。</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cs="宋体"/>
          <w:sz w:val="24"/>
        </w:rPr>
        <w:t>签订地点：</w:t>
      </w:r>
      <w:r>
        <w:rPr>
          <w:rFonts w:hint="eastAsia" w:ascii="宋体" w:hAnsi="宋体" w:cs="宋体"/>
          <w:sz w:val="24"/>
          <w:lang w:val="en-US" w:eastAsia="zh-CN"/>
        </w:rPr>
        <w:t>成都市武侯区天府大道中段279号成达大厦10楼</w:t>
      </w:r>
      <w:r>
        <w:rPr>
          <w:rFonts w:hint="eastAsia" w:ascii="宋体" w:hAnsi="宋体" w:cs="宋体"/>
          <w:sz w:val="24"/>
        </w:rPr>
        <w:t>。</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cs="宋体"/>
          <w:sz w:val="24"/>
        </w:rPr>
        <w:t>签订时间：</w:t>
      </w:r>
      <w:r>
        <w:rPr>
          <w:rFonts w:hint="eastAsia" w:ascii="宋体" w:hAnsi="宋体" w:cs="宋体"/>
          <w:sz w:val="24"/>
          <w:lang w:val="en-US" w:eastAsia="zh-CN"/>
        </w:rPr>
        <w:t>2022</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cs="宋体"/>
          <w:sz w:val="24"/>
        </w:rPr>
        <w:t>采购人（甲方）：</w:t>
      </w:r>
      <w:r>
        <w:rPr>
          <w:rFonts w:hint="eastAsia" w:ascii="宋体" w:hAnsi="宋体" w:cs="宋体"/>
          <w:sz w:val="24"/>
          <w:lang w:val="en-US" w:eastAsia="zh-CN"/>
        </w:rPr>
        <w:t>四川能投广元燃气发电有限公司</w:t>
      </w:r>
      <w:r>
        <w:rPr>
          <w:rFonts w:hint="eastAsia" w:ascii="宋体" w:hAnsi="宋体" w:cs="宋体"/>
          <w:sz w:val="24"/>
        </w:rPr>
        <w:t xml:space="preserve">                              </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cs="宋体"/>
          <w:sz w:val="24"/>
        </w:rPr>
        <w:t xml:space="preserve">供应商（乙方）：              </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rPr>
      </w:pPr>
      <w:r>
        <w:rPr>
          <w:rFonts w:hint="eastAsia" w:ascii="宋体" w:hAnsi="宋体" w:cs="宋体"/>
          <w:sz w:val="24"/>
        </w:rPr>
        <w:t>根据《中华人民共和国合同法》以及四川能投</w:t>
      </w:r>
      <w:r>
        <w:rPr>
          <w:rFonts w:hint="eastAsia" w:ascii="宋体" w:hAnsi="宋体" w:cs="宋体"/>
          <w:sz w:val="24"/>
          <w:lang w:eastAsia="zh-CN"/>
        </w:rPr>
        <w:t>电力开发</w:t>
      </w:r>
      <w:r>
        <w:rPr>
          <w:rFonts w:hint="eastAsia" w:ascii="宋体" w:hAnsi="宋体" w:cs="宋体"/>
          <w:sz w:val="24"/>
        </w:rPr>
        <w:t>集团有限公司</w:t>
      </w:r>
      <w:r>
        <w:rPr>
          <w:rFonts w:hint="eastAsia" w:ascii="宋体" w:hAnsi="宋体" w:cs="宋体"/>
          <w:sz w:val="24"/>
          <w:lang w:eastAsia="zh-CN"/>
        </w:rPr>
        <w:t>采购清单、</w:t>
      </w:r>
      <w:r>
        <w:rPr>
          <w:rFonts w:hint="eastAsia" w:ascii="宋体" w:hAnsi="宋体" w:cs="宋体"/>
          <w:sz w:val="24"/>
        </w:rPr>
        <w:t>《</w:t>
      </w:r>
      <w:r>
        <w:rPr>
          <w:rFonts w:hint="eastAsia" w:ascii="宋体" w:hAnsi="宋体" w:cs="宋体"/>
          <w:sz w:val="24"/>
          <w:lang w:eastAsia="zh-CN"/>
        </w:rPr>
        <w:t>竞争性谈判响应文件》及《中选通知书》</w:t>
      </w:r>
      <w:r>
        <w:rPr>
          <w:rFonts w:hint="eastAsia" w:ascii="宋体" w:hAnsi="宋体" w:cs="宋体"/>
          <w:sz w:val="24"/>
          <w:lang w:val="en-US" w:eastAsia="zh-CN"/>
        </w:rPr>
        <w:t xml:space="preserve"> </w:t>
      </w:r>
      <w:r>
        <w:rPr>
          <w:rFonts w:hint="eastAsia" w:ascii="宋体" w:hAnsi="宋体" w:cs="宋体"/>
          <w:sz w:val="24"/>
          <w:lang w:eastAsia="zh-CN"/>
        </w:rPr>
        <w:t>，</w:t>
      </w:r>
      <w:r>
        <w:rPr>
          <w:rFonts w:hint="eastAsia" w:ascii="宋体" w:hAnsi="宋体" w:cs="宋体"/>
          <w:sz w:val="24"/>
        </w:rPr>
        <w:t>甲、乙双方同意签订本合同。详细技术说明及其他有关合同项目的特定信息由合同附件予以说明，合同附件为本合同不可分割的部分。双方同意共同遵守如下条款：</w:t>
      </w:r>
    </w:p>
    <w:p>
      <w:pPr>
        <w:pStyle w:val="5"/>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黑体" w:hAnsi="宋体"/>
          <w:b w:val="0"/>
          <w:color w:val="000000"/>
          <w:sz w:val="24"/>
          <w:szCs w:val="24"/>
        </w:rPr>
      </w:pPr>
      <w:bookmarkStart w:id="252" w:name="_Toc16421"/>
      <w:bookmarkStart w:id="253" w:name="_Toc389566848"/>
      <w:bookmarkStart w:id="254" w:name="_Toc217446107"/>
      <w:bookmarkStart w:id="255" w:name="_Toc309640004"/>
      <w:bookmarkStart w:id="256" w:name="_Toc309639848"/>
      <w:bookmarkStart w:id="257" w:name="_Toc373658511"/>
      <w:r>
        <w:rPr>
          <w:rFonts w:hint="eastAsia" w:ascii="黑体" w:hAnsi="宋体"/>
          <w:b w:val="0"/>
          <w:color w:val="000000"/>
          <w:sz w:val="24"/>
          <w:szCs w:val="24"/>
        </w:rPr>
        <w:t>合同货物</w:t>
      </w:r>
      <w:bookmarkEnd w:id="252"/>
      <w:bookmarkEnd w:id="253"/>
      <w:bookmarkEnd w:id="254"/>
      <w:bookmarkEnd w:id="255"/>
      <w:bookmarkEnd w:id="256"/>
      <w:bookmarkEnd w:id="257"/>
      <w:r>
        <w:rPr>
          <w:rFonts w:hint="eastAsia" w:ascii="黑体" w:hAnsi="宋体"/>
          <w:b w:val="0"/>
          <w:color w:val="000000"/>
          <w:sz w:val="24"/>
          <w:szCs w:val="24"/>
        </w:rPr>
        <w:t>的名称、规格、型号、数量、配件</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sz w:val="24"/>
          <w:szCs w:val="22"/>
        </w:rPr>
        <w:t xml:space="preserve"> 货物的名称、规格、数量、配件详见本合同采购清单（见附件）。</w:t>
      </w:r>
    </w:p>
    <w:p>
      <w:pPr>
        <w:pStyle w:val="5"/>
        <w:pageBreakBefore w:val="0"/>
        <w:widowControl w:val="0"/>
        <w:kinsoku/>
        <w:wordWrap/>
        <w:overflowPunct/>
        <w:topLinePunct w:val="0"/>
        <w:autoSpaceDE/>
        <w:autoSpaceDN/>
        <w:bidi w:val="0"/>
        <w:adjustRightInd/>
        <w:snapToGrid/>
        <w:spacing w:line="500" w:lineRule="exact"/>
        <w:ind w:firstLine="480" w:firstLineChars="200"/>
        <w:textAlignment w:val="auto"/>
        <w:rPr>
          <w:rFonts w:ascii="黑体" w:hAnsi="宋体"/>
          <w:b w:val="0"/>
          <w:color w:val="000000"/>
          <w:sz w:val="24"/>
          <w:szCs w:val="24"/>
        </w:rPr>
      </w:pPr>
      <w:bookmarkStart w:id="258" w:name="_Toc26805"/>
      <w:bookmarkStart w:id="259" w:name="_Toc309639849"/>
      <w:bookmarkStart w:id="260" w:name="_Toc309640005"/>
      <w:bookmarkStart w:id="261" w:name="_Toc373658512"/>
      <w:bookmarkStart w:id="262" w:name="_Toc389566849"/>
      <w:bookmarkStart w:id="263" w:name="_Toc217446108"/>
      <w:r>
        <w:rPr>
          <w:rFonts w:hint="eastAsia" w:ascii="黑体" w:hAnsi="宋体"/>
          <w:b w:val="0"/>
          <w:color w:val="000000"/>
          <w:sz w:val="24"/>
          <w:szCs w:val="24"/>
        </w:rPr>
        <w:t>二、合同总价</w:t>
      </w:r>
      <w:bookmarkEnd w:id="258"/>
      <w:bookmarkEnd w:id="259"/>
      <w:bookmarkEnd w:id="260"/>
      <w:bookmarkEnd w:id="261"/>
      <w:bookmarkEnd w:id="262"/>
      <w:bookmarkEnd w:id="263"/>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本合同为固定单价</w:t>
      </w:r>
      <w:r>
        <w:rPr>
          <w:rFonts w:hint="eastAsia" w:ascii="宋体" w:hAnsi="宋体" w:cs="宋体"/>
          <w:sz w:val="24"/>
          <w:szCs w:val="22"/>
          <w:lang w:eastAsia="zh-CN"/>
        </w:rPr>
        <w:t>（</w:t>
      </w:r>
      <w:r>
        <w:rPr>
          <w:rFonts w:hint="eastAsia" w:ascii="宋体" w:hAnsi="宋体" w:cs="宋体"/>
          <w:sz w:val="24"/>
          <w:szCs w:val="22"/>
        </w:rPr>
        <w:t>含税</w:t>
      </w:r>
      <w:r>
        <w:rPr>
          <w:rFonts w:hint="eastAsia" w:ascii="宋体" w:hAnsi="宋体" w:cs="宋体"/>
          <w:sz w:val="24"/>
          <w:szCs w:val="22"/>
          <w:lang w:eastAsia="zh-CN"/>
        </w:rPr>
        <w:t>）合同</w:t>
      </w:r>
      <w:r>
        <w:rPr>
          <w:rFonts w:hint="eastAsia" w:ascii="宋体" w:hAnsi="宋体" w:cs="宋体"/>
          <w:sz w:val="24"/>
          <w:szCs w:val="22"/>
        </w:rPr>
        <w:t>，乙方不得因履行本合同再向甲方要求支付除本条款约定的费用之外的任何费用。合同总价（含税）为￥</w:t>
      </w:r>
      <w:r>
        <w:rPr>
          <w:rFonts w:hint="eastAsia" w:ascii="宋体" w:hAnsi="宋体" w:cs="宋体"/>
          <w:sz w:val="24"/>
          <w:szCs w:val="22"/>
          <w:u w:val="single"/>
          <w:lang w:val="en-US" w:eastAsia="zh-CN"/>
        </w:rPr>
        <w:t xml:space="preserve">       </w:t>
      </w:r>
      <w:r>
        <w:rPr>
          <w:rFonts w:hint="eastAsia" w:ascii="宋体" w:hAnsi="宋体" w:cs="宋体"/>
          <w:sz w:val="24"/>
          <w:szCs w:val="22"/>
        </w:rPr>
        <w:t>元，大写：</w:t>
      </w:r>
      <w:r>
        <w:rPr>
          <w:rFonts w:hint="eastAsia" w:ascii="宋体" w:hAnsi="宋体" w:cs="宋体"/>
          <w:sz w:val="24"/>
          <w:szCs w:val="22"/>
          <w:u w:val="single"/>
          <w:lang w:val="en-US" w:eastAsia="zh-CN"/>
        </w:rPr>
        <w:t xml:space="preserve">      </w:t>
      </w:r>
      <w:r>
        <w:rPr>
          <w:rFonts w:hint="eastAsia" w:ascii="宋体" w:hAnsi="宋体" w:cs="宋体"/>
          <w:sz w:val="24"/>
          <w:szCs w:val="22"/>
        </w:rPr>
        <w:t>。该合同</w:t>
      </w:r>
      <w:r>
        <w:rPr>
          <w:rFonts w:hint="eastAsia" w:ascii="宋体" w:hAnsi="宋体" w:cs="宋体"/>
          <w:sz w:val="24"/>
          <w:szCs w:val="22"/>
          <w:lang w:val="en-US" w:eastAsia="zh-CN"/>
        </w:rPr>
        <w:t>价款</w:t>
      </w:r>
      <w:r>
        <w:rPr>
          <w:rFonts w:hint="eastAsia" w:ascii="宋体" w:hAnsi="宋体" w:cs="宋体"/>
          <w:sz w:val="24"/>
          <w:szCs w:val="22"/>
        </w:rPr>
        <w:t>已包括</w:t>
      </w:r>
      <w:r>
        <w:rPr>
          <w:rFonts w:hint="eastAsia" w:ascii="宋体" w:hAnsi="宋体" w:cs="宋体"/>
          <w:sz w:val="24"/>
          <w:szCs w:val="22"/>
          <w:lang w:val="en-US" w:eastAsia="zh-CN"/>
        </w:rPr>
        <w:t>家具</w:t>
      </w:r>
      <w:r>
        <w:rPr>
          <w:rFonts w:hint="eastAsia" w:ascii="宋体" w:hAnsi="宋体" w:cs="宋体"/>
          <w:sz w:val="24"/>
          <w:szCs w:val="22"/>
        </w:rPr>
        <w:t>设计、材料</w:t>
      </w:r>
      <w:r>
        <w:rPr>
          <w:rFonts w:hint="eastAsia" w:ascii="宋体" w:hAnsi="宋体" w:cs="宋体"/>
          <w:sz w:val="24"/>
          <w:szCs w:val="22"/>
          <w:lang w:val="en-US" w:eastAsia="zh-CN"/>
        </w:rPr>
        <w:t>采购</w:t>
      </w:r>
      <w:r>
        <w:rPr>
          <w:rFonts w:hint="eastAsia" w:ascii="宋体" w:hAnsi="宋体" w:cs="宋体"/>
          <w:sz w:val="24"/>
          <w:szCs w:val="22"/>
        </w:rPr>
        <w:t>、制造、包装、运输、安装、调试、检测、验收合格交付使用之前及保修期内保修服务与备用物件等等所有其他有关各项的含税费用。除该总价外，乙方不得再要求甲方支付其他任何费用。</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下单生产前如甲方需对货物采购数量进行增减调整，乙方应无条件满足，合同结算金额按实际供货量计算。</w:t>
      </w:r>
    </w:p>
    <w:p>
      <w:pPr>
        <w:pStyle w:val="5"/>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宋体" w:cs="Times New Roman"/>
          <w:b w:val="0"/>
          <w:color w:val="000000"/>
          <w:sz w:val="24"/>
          <w:szCs w:val="24"/>
        </w:rPr>
      </w:pPr>
      <w:bookmarkStart w:id="264" w:name="_Toc389566850"/>
      <w:bookmarkStart w:id="265" w:name="_Toc217446109"/>
      <w:bookmarkStart w:id="266" w:name="_Toc309639850"/>
      <w:bookmarkStart w:id="267" w:name="_Toc309640006"/>
      <w:bookmarkStart w:id="268" w:name="_Toc373658513"/>
      <w:bookmarkStart w:id="269" w:name="_Toc20313"/>
      <w:r>
        <w:rPr>
          <w:rFonts w:hint="eastAsia" w:ascii="黑体" w:hAnsi="宋体" w:cs="Times New Roman"/>
          <w:b w:val="0"/>
          <w:color w:val="000000"/>
          <w:sz w:val="24"/>
          <w:szCs w:val="24"/>
        </w:rPr>
        <w:t>三、质量要求</w:t>
      </w:r>
      <w:bookmarkEnd w:id="264"/>
      <w:bookmarkEnd w:id="265"/>
      <w:bookmarkEnd w:id="266"/>
      <w:bookmarkEnd w:id="267"/>
      <w:bookmarkEnd w:id="268"/>
      <w:bookmarkEnd w:id="269"/>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1、乙方须提供全新的货物（含零部件、配件等），表面无划伤、无碰撞痕迹，且权属清楚，不得侵害他人的所有权、合法使用权和知识产权。</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2、货物必须符合或优于国家（行业）标准，以及本项目招标文件的质量要求和技术指标与出厂标准</w:t>
      </w:r>
      <w:r>
        <w:rPr>
          <w:rFonts w:hint="eastAsia" w:ascii="宋体" w:hAnsi="宋体" w:cs="宋体"/>
          <w:sz w:val="24"/>
          <w:szCs w:val="22"/>
          <w:lang w:eastAsia="zh-CN"/>
        </w:rPr>
        <w:t>，</w:t>
      </w:r>
      <w:r>
        <w:rPr>
          <w:rFonts w:hint="eastAsia" w:ascii="宋体" w:hAnsi="宋体" w:cs="宋体"/>
          <w:sz w:val="24"/>
          <w:szCs w:val="22"/>
          <w:lang w:val="en-US" w:eastAsia="zh-CN"/>
        </w:rPr>
        <w:t>并满足正常的使用需求。</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3、</w:t>
      </w:r>
      <w:r>
        <w:rPr>
          <w:rFonts w:hint="eastAsia" w:ascii="宋体" w:hAnsi="宋体" w:cs="宋体"/>
          <w:sz w:val="24"/>
          <w:szCs w:val="22"/>
          <w:lang w:eastAsia="zh-CN"/>
        </w:rPr>
        <w:t>家具生产过程中，甲方有权进行监造；家具运输打包前、运送到目的后，须接受甲方的检查</w:t>
      </w:r>
      <w:r>
        <w:rPr>
          <w:rFonts w:hint="eastAsia" w:ascii="宋体" w:hAnsi="宋体" w:cs="宋体"/>
          <w:sz w:val="24"/>
          <w:szCs w:val="22"/>
        </w:rPr>
        <w:t>。</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4、货物质量出现问题，乙方应负责三包（包修、包换、包退），费用由乙方负担，甲方有权到乙方生产场地检查货物质量和生产进度。</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5、货到现场后由于甲方保管不当造成的质量问题，乙方亦应负责修理，但费用由甲方负担。</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lang w:val="en-US" w:eastAsia="zh-CN"/>
        </w:rPr>
        <w:t>6.货物外包装材料符合环保要求。</w:t>
      </w:r>
    </w:p>
    <w:p>
      <w:pPr>
        <w:pStyle w:val="5"/>
        <w:pageBreakBefore w:val="0"/>
        <w:widowControl w:val="0"/>
        <w:kinsoku/>
        <w:wordWrap/>
        <w:overflowPunct/>
        <w:topLinePunct w:val="0"/>
        <w:autoSpaceDE/>
        <w:autoSpaceDN/>
        <w:bidi w:val="0"/>
        <w:adjustRightInd/>
        <w:snapToGrid/>
        <w:spacing w:line="500" w:lineRule="exact"/>
        <w:ind w:firstLine="480" w:firstLineChars="200"/>
        <w:textAlignment w:val="auto"/>
        <w:rPr>
          <w:rFonts w:ascii="黑体" w:hAnsi="宋体"/>
          <w:b w:val="0"/>
          <w:color w:val="000000"/>
          <w:sz w:val="24"/>
          <w:szCs w:val="24"/>
        </w:rPr>
      </w:pPr>
      <w:bookmarkStart w:id="270" w:name="_Toc309639851"/>
      <w:bookmarkStart w:id="271" w:name="_Toc389566851"/>
      <w:bookmarkStart w:id="272" w:name="_Toc19743"/>
      <w:bookmarkStart w:id="273" w:name="_Toc217446110"/>
      <w:bookmarkStart w:id="274" w:name="_Toc309640007"/>
      <w:bookmarkStart w:id="275" w:name="_Toc373658514"/>
      <w:r>
        <w:rPr>
          <w:rFonts w:hint="eastAsia" w:ascii="黑体" w:hAnsi="宋体"/>
          <w:b w:val="0"/>
          <w:color w:val="000000"/>
          <w:sz w:val="24"/>
          <w:szCs w:val="24"/>
        </w:rPr>
        <w:t>四、交货及验收</w:t>
      </w:r>
      <w:bookmarkEnd w:id="270"/>
      <w:bookmarkEnd w:id="271"/>
      <w:bookmarkEnd w:id="272"/>
      <w:bookmarkEnd w:id="273"/>
      <w:bookmarkEnd w:id="274"/>
      <w:bookmarkEnd w:id="275"/>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1、乙方应在</w:t>
      </w:r>
      <w:r>
        <w:rPr>
          <w:rFonts w:hint="eastAsia" w:ascii="宋体" w:hAnsi="宋体" w:cs="宋体"/>
          <w:sz w:val="24"/>
          <w:szCs w:val="22"/>
          <w:u w:val="none"/>
          <w:lang w:val="en-US" w:eastAsia="zh-CN"/>
        </w:rPr>
        <w:t xml:space="preserve"> 2022 </w:t>
      </w:r>
      <w:r>
        <w:rPr>
          <w:rFonts w:hint="eastAsia" w:ascii="宋体" w:hAnsi="宋体" w:cs="宋体"/>
          <w:sz w:val="24"/>
          <w:szCs w:val="22"/>
        </w:rPr>
        <w:t>年</w:t>
      </w:r>
      <w:r>
        <w:rPr>
          <w:rFonts w:hint="eastAsia" w:ascii="宋体" w:hAnsi="宋体" w:cs="宋体"/>
          <w:sz w:val="24"/>
          <w:szCs w:val="22"/>
          <w:u w:val="none"/>
          <w:lang w:val="en-US" w:eastAsia="zh-CN"/>
        </w:rPr>
        <w:t xml:space="preserve">   </w:t>
      </w:r>
      <w:r>
        <w:rPr>
          <w:rFonts w:hint="eastAsia" w:ascii="宋体" w:hAnsi="宋体" w:cs="宋体"/>
          <w:sz w:val="24"/>
          <w:szCs w:val="22"/>
        </w:rPr>
        <w:t>月</w:t>
      </w:r>
      <w:r>
        <w:rPr>
          <w:rFonts w:hint="eastAsia" w:ascii="宋体" w:hAnsi="宋体" w:cs="宋体"/>
          <w:sz w:val="24"/>
          <w:szCs w:val="22"/>
          <w:u w:val="none"/>
          <w:lang w:val="en-US" w:eastAsia="zh-CN"/>
        </w:rPr>
        <w:t xml:space="preserve">   </w:t>
      </w:r>
      <w:r>
        <w:rPr>
          <w:rFonts w:hint="eastAsia" w:ascii="宋体" w:hAnsi="宋体" w:cs="宋体"/>
          <w:sz w:val="24"/>
          <w:szCs w:val="22"/>
        </w:rPr>
        <w:t>日前交货到甲方指定地点并完成安装调试验收合格交付使用。交货验收时须提供产品质检部门从同类产品中抽样检查合格的检测报告。</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2、验收由甲方组织，乙方配合进行：</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(1) 货物在乙方通知安装调试完毕后3日内初步验收。初步验收合格后，进入30天试用期；试用期间发生重大质量问题，修复后试用相应顺延；试用期结束后3日内完成最终验收；</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(4) 如质量验收合格，双方签署质量验收报告。</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3、货物安装完成后日内，甲方无故不进行初步验收工作并已使用货物的，视同已安装调试完成并初步验收合格。</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4、乙方应将所提供货物的装箱清单、配件、随机工具、用户使用手册、原厂保修卡等资料交付给甲方；乙方不能完整交付货物及本款规定的单证和工具的，必须负责补齐，否则视为未按合同约定交货。</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bookmarkStart w:id="276" w:name="_Toc309639854"/>
      <w:bookmarkStart w:id="277" w:name="_Toc309640010"/>
      <w:bookmarkStart w:id="278" w:name="_Toc373658517"/>
      <w:bookmarkStart w:id="279" w:name="_Toc389566854"/>
      <w:bookmarkStart w:id="280" w:name="_Toc217446113"/>
      <w:r>
        <w:rPr>
          <w:rFonts w:hint="eastAsia" w:ascii="宋体" w:hAnsi="宋体" w:cs="宋体"/>
          <w:sz w:val="24"/>
          <w:szCs w:val="22"/>
        </w:rPr>
        <w:t>5、如货物经乙方3次维修仍不能达到合同约定的质量标准，甲方有权退货并退该等所退货物的全部价款，并视作乙方不能交付货物而须支付退货货物货款的20%违约赔偿金给甲方。 </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highlight w:val="none"/>
        </w:rPr>
      </w:pPr>
      <w:r>
        <w:rPr>
          <w:rFonts w:hint="eastAsia" w:ascii="宋体" w:hAnsi="宋体" w:cs="宋体"/>
          <w:sz w:val="24"/>
          <w:szCs w:val="22"/>
        </w:rPr>
        <w:t>6、其他未尽事宜应严格按照招标要求以及双方的约定进行。</w:t>
      </w:r>
    </w:p>
    <w:p>
      <w:pPr>
        <w:pStyle w:val="5"/>
        <w:pageBreakBefore w:val="0"/>
        <w:widowControl w:val="0"/>
        <w:kinsoku/>
        <w:wordWrap/>
        <w:overflowPunct/>
        <w:topLinePunct w:val="0"/>
        <w:autoSpaceDE/>
        <w:autoSpaceDN/>
        <w:bidi w:val="0"/>
        <w:adjustRightInd/>
        <w:snapToGrid/>
        <w:spacing w:line="500" w:lineRule="exact"/>
        <w:ind w:firstLine="480" w:firstLineChars="200"/>
        <w:textAlignment w:val="auto"/>
        <w:rPr>
          <w:rFonts w:ascii="黑体" w:hAnsi="宋体"/>
          <w:b w:val="0"/>
          <w:color w:val="000000"/>
          <w:sz w:val="24"/>
          <w:szCs w:val="24"/>
          <w:highlight w:val="none"/>
        </w:rPr>
      </w:pPr>
      <w:bookmarkStart w:id="281" w:name="_Toc389566852"/>
      <w:bookmarkStart w:id="282" w:name="_Toc1706"/>
      <w:bookmarkStart w:id="283" w:name="_Toc309639852"/>
      <w:bookmarkStart w:id="284" w:name="_Toc309640008"/>
      <w:bookmarkStart w:id="285" w:name="_Toc217446111"/>
      <w:bookmarkStart w:id="286" w:name="_Toc373658515"/>
      <w:r>
        <w:rPr>
          <w:rFonts w:hint="eastAsia" w:ascii="黑体" w:hAnsi="宋体"/>
          <w:b w:val="0"/>
          <w:color w:val="000000"/>
          <w:sz w:val="24"/>
          <w:szCs w:val="24"/>
          <w:highlight w:val="none"/>
        </w:rPr>
        <w:t>五、付款方式</w:t>
      </w:r>
      <w:bookmarkEnd w:id="281"/>
      <w:bookmarkEnd w:id="282"/>
      <w:bookmarkEnd w:id="283"/>
      <w:bookmarkEnd w:id="284"/>
      <w:bookmarkEnd w:id="285"/>
      <w:bookmarkEnd w:id="286"/>
    </w:p>
    <w:bookmarkEnd w:id="276"/>
    <w:bookmarkEnd w:id="277"/>
    <w:bookmarkEnd w:id="278"/>
    <w:bookmarkEnd w:id="279"/>
    <w:bookmarkEnd w:id="280"/>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2"/>
          <w:lang w:eastAsia="zh-CN"/>
        </w:rPr>
      </w:pPr>
      <w:r>
        <w:rPr>
          <w:rFonts w:hint="eastAsia" w:ascii="宋体" w:hAnsi="宋体" w:cs="宋体"/>
          <w:sz w:val="24"/>
          <w:szCs w:val="22"/>
        </w:rPr>
        <w:t>1、</w:t>
      </w:r>
      <w:r>
        <w:rPr>
          <w:rFonts w:hint="eastAsia" w:ascii="宋体" w:hAnsi="宋体" w:cs="宋体"/>
          <w:sz w:val="24"/>
          <w:szCs w:val="22"/>
          <w:lang w:eastAsia="zh-CN"/>
        </w:rPr>
        <w:t>预付款：</w:t>
      </w:r>
      <w:r>
        <w:rPr>
          <w:rFonts w:hint="eastAsia" w:ascii="宋体" w:hAnsi="宋体" w:cs="宋体"/>
          <w:sz w:val="24"/>
          <w:szCs w:val="22"/>
        </w:rPr>
        <w:t>甲方在本合同签订生效之日起</w:t>
      </w:r>
      <w:r>
        <w:rPr>
          <w:rFonts w:hint="eastAsia" w:ascii="宋体" w:hAnsi="宋体" w:cs="宋体"/>
          <w:sz w:val="24"/>
          <w:szCs w:val="22"/>
          <w:lang w:val="en-US" w:eastAsia="zh-CN"/>
        </w:rPr>
        <w:t>15</w:t>
      </w:r>
      <w:r>
        <w:rPr>
          <w:rFonts w:hint="eastAsia" w:ascii="宋体" w:hAnsi="宋体" w:cs="宋体"/>
          <w:sz w:val="24"/>
          <w:szCs w:val="22"/>
        </w:rPr>
        <w:t>日内支付合同</w:t>
      </w:r>
      <w:r>
        <w:rPr>
          <w:rFonts w:hint="eastAsia" w:ascii="宋体" w:hAnsi="宋体" w:cs="宋体"/>
          <w:sz w:val="24"/>
          <w:szCs w:val="22"/>
          <w:lang w:eastAsia="zh-CN"/>
        </w:rPr>
        <w:t>预付款</w:t>
      </w:r>
      <w:r>
        <w:rPr>
          <w:rFonts w:hint="eastAsia" w:ascii="宋体" w:hAnsi="宋体" w:cs="宋体"/>
          <w:sz w:val="24"/>
          <w:szCs w:val="22"/>
        </w:rPr>
        <w:t>，合同</w:t>
      </w:r>
      <w:r>
        <w:rPr>
          <w:rFonts w:hint="eastAsia" w:ascii="宋体" w:hAnsi="宋体" w:cs="宋体"/>
          <w:sz w:val="24"/>
          <w:szCs w:val="22"/>
          <w:lang w:eastAsia="zh-CN"/>
        </w:rPr>
        <w:t>预付款金额</w:t>
      </w:r>
      <w:r>
        <w:rPr>
          <w:rFonts w:hint="eastAsia" w:ascii="宋体" w:hAnsi="宋体" w:cs="宋体"/>
          <w:sz w:val="24"/>
          <w:szCs w:val="22"/>
        </w:rPr>
        <w:t>为货物总价款的</w:t>
      </w:r>
      <w:r>
        <w:rPr>
          <w:rFonts w:hint="eastAsia" w:ascii="宋体" w:hAnsi="宋体" w:cs="宋体"/>
          <w:sz w:val="24"/>
          <w:szCs w:val="22"/>
          <w:lang w:val="en-US" w:eastAsia="zh-CN"/>
        </w:rPr>
        <w:t>30%</w:t>
      </w:r>
      <w:r>
        <w:rPr>
          <w:rFonts w:hint="eastAsia" w:ascii="宋体" w:hAnsi="宋体" w:cs="宋体"/>
          <w:sz w:val="24"/>
          <w:szCs w:val="22"/>
        </w:rPr>
        <w:t>，即：</w:t>
      </w:r>
      <w:r>
        <w:rPr>
          <w:rFonts w:hint="eastAsia" w:ascii="宋体" w:hAnsi="宋体" w:cs="宋体"/>
          <w:sz w:val="24"/>
          <w:szCs w:val="22"/>
          <w:lang w:eastAsia="zh-CN"/>
        </w:rPr>
        <w:t>为</w:t>
      </w:r>
      <w:r>
        <w:rPr>
          <w:rFonts w:hint="eastAsia" w:ascii="宋体" w:hAnsi="宋体" w:cs="宋体"/>
          <w:sz w:val="24"/>
          <w:szCs w:val="22"/>
        </w:rPr>
        <w:t>￥</w:t>
      </w:r>
      <w:r>
        <w:rPr>
          <w:rFonts w:hint="eastAsia" w:ascii="宋体" w:hAnsi="宋体" w:cs="宋体"/>
          <w:sz w:val="24"/>
          <w:szCs w:val="22"/>
          <w:u w:val="single"/>
          <w:lang w:val="en-US" w:eastAsia="zh-CN"/>
        </w:rPr>
        <w:t xml:space="preserve">        </w:t>
      </w:r>
      <w:r>
        <w:rPr>
          <w:rFonts w:hint="eastAsia" w:ascii="宋体" w:hAnsi="宋体" w:cs="宋体"/>
          <w:sz w:val="24"/>
          <w:szCs w:val="22"/>
        </w:rPr>
        <w:t>元，大写</w:t>
      </w:r>
      <w:r>
        <w:rPr>
          <w:rFonts w:hint="eastAsia" w:ascii="宋体" w:hAnsi="宋体" w:cs="宋体"/>
          <w:sz w:val="24"/>
          <w:szCs w:val="22"/>
          <w:u w:val="single"/>
          <w:lang w:val="en-US" w:eastAsia="zh-CN"/>
        </w:rPr>
        <w:t xml:space="preserve">                    </w:t>
      </w:r>
      <w:r>
        <w:rPr>
          <w:rFonts w:hint="eastAsia" w:ascii="宋体" w:hAnsi="宋体" w:cs="宋体"/>
          <w:sz w:val="24"/>
          <w:szCs w:val="22"/>
        </w:rPr>
        <w:t>。</w:t>
      </w:r>
      <w:r>
        <w:rPr>
          <w:rFonts w:hint="eastAsia" w:ascii="宋体" w:hAnsi="宋体" w:cs="宋体"/>
          <w:sz w:val="24"/>
          <w:szCs w:val="22"/>
          <w:lang w:eastAsia="zh-CN"/>
        </w:rPr>
        <w:t>（根据竞争性谈判文件，评审专家劳务费由中选单位承担，在支付合同预付款时抵扣）</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2、</w:t>
      </w:r>
      <w:r>
        <w:rPr>
          <w:rFonts w:hint="eastAsia" w:ascii="宋体" w:hAnsi="宋体" w:cs="宋体"/>
          <w:sz w:val="24"/>
          <w:szCs w:val="22"/>
          <w:lang w:eastAsia="zh-CN"/>
        </w:rPr>
        <w:t>结算款：</w:t>
      </w:r>
      <w:r>
        <w:rPr>
          <w:rFonts w:hint="eastAsia" w:ascii="宋体" w:hAnsi="宋体" w:cs="宋体"/>
          <w:sz w:val="24"/>
          <w:szCs w:val="22"/>
        </w:rPr>
        <w:t>全部货物安装调试完毕并最终验收合格之日起15日内，甲方向乙方支付</w:t>
      </w:r>
      <w:r>
        <w:rPr>
          <w:rFonts w:hint="eastAsia" w:ascii="宋体" w:hAnsi="宋体" w:cs="宋体"/>
          <w:sz w:val="24"/>
          <w:szCs w:val="22"/>
          <w:lang w:eastAsia="zh-CN"/>
        </w:rPr>
        <w:t>结算金额</w:t>
      </w:r>
      <w:r>
        <w:rPr>
          <w:rFonts w:hint="eastAsia" w:ascii="宋体" w:hAnsi="宋体" w:cs="宋体"/>
          <w:sz w:val="24"/>
          <w:szCs w:val="22"/>
        </w:rPr>
        <w:t>总价的</w:t>
      </w:r>
      <w:r>
        <w:rPr>
          <w:rFonts w:hint="eastAsia" w:ascii="宋体" w:hAnsi="宋体" w:cs="宋体"/>
          <w:sz w:val="24"/>
          <w:szCs w:val="22"/>
          <w:lang w:val="en-US" w:eastAsia="zh-CN"/>
        </w:rPr>
        <w:t>65%，</w:t>
      </w:r>
      <w:r>
        <w:rPr>
          <w:rFonts w:hint="eastAsia" w:ascii="宋体" w:hAnsi="宋体"/>
          <w:color w:val="0D0D0D"/>
          <w:sz w:val="24"/>
        </w:rPr>
        <w:t>剩余</w:t>
      </w:r>
      <w:r>
        <w:rPr>
          <w:rFonts w:hint="eastAsia" w:ascii="宋体" w:hAnsi="宋体"/>
          <w:color w:val="000000"/>
          <w:sz w:val="24"/>
        </w:rPr>
        <w:t>合同总价款的5%作为质量保证金</w:t>
      </w:r>
      <w:r>
        <w:rPr>
          <w:rFonts w:hint="eastAsia" w:ascii="宋体" w:hAnsi="宋体"/>
          <w:color w:val="000000"/>
          <w:sz w:val="24"/>
          <w:lang w:eastAsia="zh-CN"/>
        </w:rPr>
        <w:t>。</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3、乙方须在甲方支付</w:t>
      </w:r>
      <w:r>
        <w:rPr>
          <w:rFonts w:hint="eastAsia" w:ascii="宋体" w:hAnsi="宋体" w:cs="宋体"/>
          <w:sz w:val="24"/>
          <w:szCs w:val="22"/>
          <w:lang w:eastAsia="zh-CN"/>
        </w:rPr>
        <w:t>结算</w:t>
      </w:r>
      <w:r>
        <w:rPr>
          <w:rFonts w:hint="eastAsia" w:ascii="宋体" w:hAnsi="宋体" w:cs="宋体"/>
          <w:sz w:val="24"/>
          <w:szCs w:val="22"/>
        </w:rPr>
        <w:t>款前向甲方</w:t>
      </w:r>
      <w:r>
        <w:rPr>
          <w:rFonts w:hint="eastAsia" w:ascii="宋体" w:hAnsi="宋体" w:cs="宋体"/>
          <w:sz w:val="24"/>
          <w:szCs w:val="22"/>
          <w:lang w:eastAsia="zh-CN"/>
        </w:rPr>
        <w:t>一次性</w:t>
      </w:r>
      <w:r>
        <w:rPr>
          <w:rFonts w:hint="eastAsia" w:ascii="宋体" w:hAnsi="宋体" w:cs="宋体"/>
          <w:sz w:val="24"/>
          <w:szCs w:val="22"/>
        </w:rPr>
        <w:t>出具</w:t>
      </w:r>
      <w:r>
        <w:rPr>
          <w:rFonts w:hint="eastAsia" w:ascii="宋体" w:hAnsi="宋体" w:cs="宋体"/>
          <w:sz w:val="24"/>
          <w:szCs w:val="22"/>
          <w:lang w:eastAsia="zh-CN"/>
        </w:rPr>
        <w:t>全额的</w:t>
      </w:r>
      <w:r>
        <w:rPr>
          <w:rFonts w:hint="eastAsia" w:ascii="宋体" w:hAnsi="宋体" w:cs="宋体"/>
          <w:sz w:val="24"/>
          <w:szCs w:val="22"/>
        </w:rPr>
        <w:t>增值税专用发票</w:t>
      </w:r>
      <w:r>
        <w:rPr>
          <w:rFonts w:hint="eastAsia" w:ascii="宋体" w:hAnsi="宋体" w:cs="宋体"/>
          <w:sz w:val="24"/>
          <w:szCs w:val="22"/>
          <w:lang w:eastAsia="zh-CN"/>
        </w:rPr>
        <w:t>，</w:t>
      </w:r>
      <w:r>
        <w:rPr>
          <w:rFonts w:hint="eastAsia" w:ascii="宋体" w:hAnsi="宋体" w:cs="宋体"/>
          <w:sz w:val="24"/>
          <w:szCs w:val="22"/>
        </w:rPr>
        <w:t>否则甲方有权拒付。</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lang w:val="en-US" w:eastAsia="zh-CN"/>
        </w:rPr>
        <w:t>4、</w:t>
      </w:r>
      <w:r>
        <w:rPr>
          <w:rFonts w:hint="eastAsia" w:ascii="宋体" w:hAnsi="宋体" w:cs="宋体"/>
          <w:sz w:val="24"/>
          <w:szCs w:val="22"/>
        </w:rPr>
        <w:t>质量保证金</w:t>
      </w:r>
      <w:r>
        <w:rPr>
          <w:rFonts w:hint="eastAsia" w:ascii="宋体" w:hAnsi="宋体" w:cs="宋体"/>
          <w:sz w:val="24"/>
          <w:szCs w:val="22"/>
          <w:lang w:eastAsia="zh-CN"/>
        </w:rPr>
        <w:t>于本次采购的货物验收合格三</w:t>
      </w:r>
      <w:r>
        <w:rPr>
          <w:rFonts w:hint="eastAsia" w:ascii="宋体" w:hAnsi="宋体" w:cs="宋体"/>
          <w:sz w:val="24"/>
          <w:szCs w:val="22"/>
          <w:lang w:val="en-US" w:eastAsia="zh-CN"/>
        </w:rPr>
        <w:t>年后</w:t>
      </w:r>
      <w:r>
        <w:rPr>
          <w:rFonts w:hint="eastAsia" w:ascii="宋体" w:hAnsi="宋体" w:cs="宋体"/>
          <w:sz w:val="24"/>
          <w:szCs w:val="22"/>
          <w:lang w:eastAsia="zh-CN"/>
        </w:rPr>
        <w:t>一次性</w:t>
      </w:r>
      <w:r>
        <w:rPr>
          <w:rFonts w:hint="eastAsia" w:ascii="宋体" w:hAnsi="宋体" w:cs="宋体"/>
          <w:sz w:val="24"/>
          <w:szCs w:val="22"/>
        </w:rPr>
        <w:t>退</w:t>
      </w:r>
      <w:r>
        <w:rPr>
          <w:rFonts w:hint="eastAsia" w:ascii="宋体" w:hAnsi="宋体" w:cs="宋体"/>
          <w:sz w:val="24"/>
          <w:szCs w:val="22"/>
          <w:lang w:eastAsia="zh-CN"/>
        </w:rPr>
        <w:t>还，乙方提出付款申请后，甲方于</w:t>
      </w:r>
      <w:r>
        <w:rPr>
          <w:rFonts w:hint="eastAsia" w:ascii="宋体" w:hAnsi="宋体" w:cs="宋体"/>
          <w:sz w:val="24"/>
          <w:szCs w:val="22"/>
          <w:lang w:val="en-US" w:eastAsia="zh-CN"/>
        </w:rPr>
        <w:t>5个工作日内支付至乙方</w:t>
      </w:r>
      <w:r>
        <w:rPr>
          <w:rFonts w:hint="eastAsia" w:ascii="宋体" w:hAnsi="宋体" w:cs="宋体"/>
          <w:sz w:val="24"/>
          <w:szCs w:val="22"/>
        </w:rPr>
        <w:t>。</w:t>
      </w:r>
    </w:p>
    <w:p>
      <w:pPr>
        <w:pStyle w:val="5"/>
        <w:pageBreakBefore w:val="0"/>
        <w:widowControl w:val="0"/>
        <w:kinsoku/>
        <w:wordWrap/>
        <w:overflowPunct/>
        <w:topLinePunct w:val="0"/>
        <w:autoSpaceDE/>
        <w:autoSpaceDN/>
        <w:bidi w:val="0"/>
        <w:adjustRightInd/>
        <w:snapToGrid/>
        <w:spacing w:line="500" w:lineRule="exact"/>
        <w:ind w:firstLine="480" w:firstLineChars="200"/>
        <w:textAlignment w:val="auto"/>
        <w:rPr>
          <w:rFonts w:ascii="黑体" w:hAnsi="宋体"/>
          <w:b w:val="0"/>
          <w:color w:val="000000"/>
          <w:sz w:val="24"/>
          <w:szCs w:val="24"/>
          <w:highlight w:val="none"/>
        </w:rPr>
      </w:pPr>
      <w:bookmarkStart w:id="287" w:name="_Toc373658516"/>
      <w:bookmarkStart w:id="288" w:name="_Toc309639853"/>
      <w:bookmarkStart w:id="289" w:name="_Toc217446112"/>
      <w:bookmarkStart w:id="290" w:name="_Toc389566853"/>
      <w:bookmarkStart w:id="291" w:name="_Toc309640009"/>
      <w:bookmarkStart w:id="292" w:name="_Toc10659"/>
      <w:r>
        <w:rPr>
          <w:rFonts w:hint="eastAsia" w:ascii="黑体" w:hAnsi="宋体"/>
          <w:b w:val="0"/>
          <w:color w:val="000000"/>
          <w:sz w:val="24"/>
          <w:szCs w:val="24"/>
          <w:highlight w:val="none"/>
        </w:rPr>
        <w:t>六、售后服务</w:t>
      </w:r>
      <w:bookmarkEnd w:id="287"/>
      <w:bookmarkEnd w:id="288"/>
      <w:bookmarkEnd w:id="289"/>
      <w:bookmarkEnd w:id="290"/>
      <w:bookmarkEnd w:id="291"/>
      <w:bookmarkEnd w:id="292"/>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lang w:eastAsia="zh-CN"/>
        </w:rPr>
      </w:pPr>
      <w:r>
        <w:rPr>
          <w:rFonts w:hint="eastAsia" w:ascii="宋体" w:hAnsi="宋体" w:cs="宋体"/>
          <w:sz w:val="24"/>
          <w:szCs w:val="22"/>
        </w:rPr>
        <w:t>1、质保期为最终验收合格后</w:t>
      </w:r>
      <w:r>
        <w:rPr>
          <w:rFonts w:hint="eastAsia" w:ascii="宋体" w:hAnsi="宋体" w:cs="宋体"/>
          <w:sz w:val="24"/>
          <w:szCs w:val="22"/>
          <w:lang w:eastAsia="zh-CN"/>
        </w:rPr>
        <w:t>3</w:t>
      </w:r>
      <w:r>
        <w:rPr>
          <w:rFonts w:hint="eastAsia" w:ascii="宋体" w:hAnsi="宋体" w:cs="宋体"/>
          <w:sz w:val="24"/>
          <w:szCs w:val="22"/>
        </w:rPr>
        <w:t>年，质保期内出现质量问题，乙方在接到通知后8小时内响应到场，24小时内完成维修或更换，并承担修理调换的费用；若乙方未能及时响应或未能完成修复、修理、更换的，甲方有权自行修复、修理、更换，则相关费用由乙方承担，若甲方先行承担了相关费用，则甲方有权向乙方追偿</w:t>
      </w:r>
      <w:r>
        <w:rPr>
          <w:rFonts w:hint="eastAsia" w:ascii="宋体" w:hAnsi="宋体" w:cs="宋体"/>
          <w:sz w:val="24"/>
          <w:szCs w:val="22"/>
          <w:lang w:eastAsia="zh-CN"/>
        </w:rPr>
        <w:t>。</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lang w:val="en-US" w:eastAsia="zh-CN"/>
        </w:rPr>
      </w:pPr>
      <w:r>
        <w:rPr>
          <w:rFonts w:hint="eastAsia" w:ascii="宋体" w:hAnsi="宋体" w:cs="宋体"/>
          <w:sz w:val="24"/>
          <w:szCs w:val="22"/>
        </w:rPr>
        <w:t>2、乙方须指派专人负责与甲方联系售后服务事宜。</w:t>
      </w:r>
      <w:r>
        <w:rPr>
          <w:rFonts w:hint="eastAsia" w:ascii="宋体" w:hAnsi="宋体" w:cs="宋体"/>
          <w:sz w:val="24"/>
          <w:szCs w:val="22"/>
          <w:lang w:val="en-US" w:eastAsia="zh-CN"/>
        </w:rPr>
        <w:t>联系方式如下：</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lang w:val="en-US" w:eastAsia="zh-CN"/>
        </w:rPr>
      </w:pPr>
      <w:r>
        <w:rPr>
          <w:rFonts w:hint="eastAsia" w:ascii="宋体" w:hAnsi="宋体" w:cs="宋体"/>
          <w:sz w:val="24"/>
          <w:szCs w:val="22"/>
          <w:lang w:val="en-US" w:eastAsia="zh-CN"/>
        </w:rPr>
        <w:t>联系人：</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lang w:val="en-US" w:eastAsia="zh-CN"/>
        </w:rPr>
      </w:pPr>
      <w:r>
        <w:rPr>
          <w:rFonts w:hint="eastAsia" w:ascii="宋体" w:hAnsi="宋体" w:cs="宋体"/>
          <w:sz w:val="24"/>
          <w:szCs w:val="22"/>
          <w:lang w:val="en-US" w:eastAsia="zh-CN"/>
        </w:rPr>
        <w:t>联系电话：</w:t>
      </w:r>
    </w:p>
    <w:p>
      <w:pPr>
        <w:pStyle w:val="5"/>
        <w:pageBreakBefore w:val="0"/>
        <w:widowControl w:val="0"/>
        <w:kinsoku/>
        <w:wordWrap/>
        <w:overflowPunct/>
        <w:topLinePunct w:val="0"/>
        <w:autoSpaceDE/>
        <w:autoSpaceDN/>
        <w:bidi w:val="0"/>
        <w:adjustRightInd/>
        <w:snapToGrid/>
        <w:spacing w:line="500" w:lineRule="exact"/>
        <w:ind w:firstLine="480" w:firstLineChars="200"/>
        <w:textAlignment w:val="auto"/>
        <w:rPr>
          <w:rFonts w:ascii="黑体" w:hAnsi="宋体"/>
          <w:b w:val="0"/>
          <w:color w:val="000000"/>
          <w:sz w:val="24"/>
          <w:szCs w:val="24"/>
        </w:rPr>
      </w:pPr>
      <w:bookmarkStart w:id="293" w:name="_Toc22872"/>
      <w:r>
        <w:rPr>
          <w:rFonts w:hint="eastAsia" w:ascii="黑体" w:hAnsi="宋体"/>
          <w:b w:val="0"/>
          <w:color w:val="000000"/>
          <w:sz w:val="24"/>
          <w:szCs w:val="24"/>
        </w:rPr>
        <w:t>七、违约责任</w:t>
      </w:r>
      <w:bookmarkEnd w:id="293"/>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1、甲方违约责任</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（1） 甲方无正当理由拒收货物的，甲方应偿付合同总价百分之二十的违约金；</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（2） 甲方逾期支付货款的，除应及时付足货款外，应</w:t>
      </w:r>
      <w:r>
        <w:rPr>
          <w:rFonts w:hint="eastAsia" w:ascii="宋体" w:hAnsi="宋体" w:cs="宋体"/>
          <w:sz w:val="24"/>
          <w:szCs w:val="22"/>
          <w:lang w:val="en-US" w:eastAsia="zh-CN"/>
        </w:rPr>
        <w:t>按银行同期贷款利率</w:t>
      </w:r>
      <w:r>
        <w:rPr>
          <w:rFonts w:hint="eastAsia" w:ascii="宋体" w:hAnsi="宋体" w:cs="宋体"/>
          <w:sz w:val="24"/>
          <w:szCs w:val="22"/>
        </w:rPr>
        <w:t>向乙方偿付欠款总额</w:t>
      </w:r>
      <w:r>
        <w:rPr>
          <w:rFonts w:hint="eastAsia" w:ascii="宋体" w:hAnsi="宋体" w:cs="宋体"/>
          <w:sz w:val="24"/>
          <w:szCs w:val="22"/>
          <w:lang w:val="en-US" w:eastAsia="zh-CN"/>
        </w:rPr>
        <w:t>的</w:t>
      </w:r>
      <w:r>
        <w:rPr>
          <w:rFonts w:hint="eastAsia" w:ascii="宋体" w:hAnsi="宋体" w:cs="宋体"/>
          <w:sz w:val="24"/>
          <w:szCs w:val="22"/>
        </w:rPr>
        <w:t>违约金；逾期付款超过20天的，乙方有权终止合同；</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2、乙方违约责任</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1）乙方交付的货物质量不符合合同规定的，乙方应向甲方支付合同总价的百分之二十的违约金，并须在合同规定的交货时间内更换合格的货物给甲方，否则，视作乙方不能交付货物而违约，按本条本款下述第“（2）”项规定由乙方偿付违约赔偿金给甲方。</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（2）乙方不能交付货物或逾期交付货物而违约的，除应及时交足货物外，应向甲方偿付逾期交货部分货款总额的万分之五/天的违约金；逾期交货超过</w:t>
      </w:r>
      <w:r>
        <w:rPr>
          <w:rFonts w:hint="eastAsia" w:ascii="宋体" w:hAnsi="宋体" w:cs="宋体"/>
          <w:sz w:val="24"/>
          <w:szCs w:val="22"/>
          <w:lang w:val="en-US" w:eastAsia="zh-CN"/>
        </w:rPr>
        <w:t>10</w:t>
      </w:r>
      <w:r>
        <w:rPr>
          <w:rFonts w:hint="eastAsia" w:ascii="宋体" w:hAnsi="宋体" w:cs="宋体"/>
          <w:sz w:val="24"/>
          <w:szCs w:val="22"/>
        </w:rPr>
        <w:t>天，甲方有权终止合同，乙方则应按合同总价的百分之二十的款额向甲方偿付赔偿金，并须全额退还甲方已经付给乙方的货款及其利息</w:t>
      </w:r>
      <w:r>
        <w:rPr>
          <w:rFonts w:hint="eastAsia" w:ascii="宋体" w:hAnsi="宋体" w:cs="宋体"/>
          <w:sz w:val="24"/>
          <w:szCs w:val="22"/>
          <w:lang w:eastAsia="zh-CN"/>
        </w:rPr>
        <w:t>，</w:t>
      </w:r>
      <w:r>
        <w:rPr>
          <w:rFonts w:hint="eastAsia" w:ascii="宋体" w:hAnsi="宋体" w:cs="宋体"/>
          <w:sz w:val="24"/>
          <w:szCs w:val="22"/>
          <w:lang w:val="en-US" w:eastAsia="zh-CN"/>
        </w:rPr>
        <w:t>利息计算标准为每日万分之五。</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3）乙方货物经甲方送交具有法定资格条件的质量技术监督机构检测后，如检测结果认定货物质量不符合本合同规定标准的，则视为乙方没有按时交货而违约，乙方须在30天内无条件更换合格的货物，如逾期不能更换合格的货物，甲方有权终止本合同，乙方应另付合同总价的百分之二十的赔偿金给甲方。</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4）乙方保证本合同货物的权利无瑕疵，包括货物所有权及知识产权等权利无瑕疵。如任何第三方对上述货物主张权利或国家机关依法对货物进行没收查处的，乙方除应向甲方返还已收款项外，还应另按合同总价的百分之五向甲方支付违约金并赔偿因此给甲方造成的一切损失。</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（5）乙方偿付的违约金不足以弥补甲方损失的，还应按甲方实际直接损失尚未弥补的部分，支付赔偿金给甲方。</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3、本合同中其他条款中所涉的违约责任与本条违约金约定不冲突的，则该等违约责任亦当适用。</w:t>
      </w:r>
    </w:p>
    <w:p>
      <w:pPr>
        <w:pStyle w:val="5"/>
        <w:pageBreakBefore w:val="0"/>
        <w:widowControl w:val="0"/>
        <w:kinsoku/>
        <w:wordWrap/>
        <w:overflowPunct/>
        <w:topLinePunct w:val="0"/>
        <w:autoSpaceDE/>
        <w:autoSpaceDN/>
        <w:bidi w:val="0"/>
        <w:adjustRightInd/>
        <w:snapToGrid/>
        <w:spacing w:line="500" w:lineRule="exact"/>
        <w:ind w:firstLine="480" w:firstLineChars="200"/>
        <w:textAlignment w:val="auto"/>
        <w:rPr>
          <w:rFonts w:ascii="黑体" w:hAnsi="宋体"/>
          <w:b w:val="0"/>
          <w:color w:val="000000"/>
          <w:sz w:val="24"/>
          <w:szCs w:val="24"/>
        </w:rPr>
      </w:pPr>
      <w:bookmarkStart w:id="294" w:name="_Toc10764"/>
      <w:bookmarkStart w:id="295" w:name="_Toc389566855"/>
      <w:bookmarkStart w:id="296" w:name="_Toc309640011"/>
      <w:bookmarkStart w:id="297" w:name="_Toc217446114"/>
      <w:bookmarkStart w:id="298" w:name="_Toc373658518"/>
      <w:bookmarkStart w:id="299" w:name="_Toc309639855"/>
      <w:r>
        <w:rPr>
          <w:rFonts w:hint="eastAsia" w:ascii="黑体" w:hAnsi="宋体"/>
          <w:b w:val="0"/>
          <w:color w:val="000000"/>
          <w:sz w:val="24"/>
          <w:szCs w:val="24"/>
        </w:rPr>
        <w:t>八、争议解决办法</w:t>
      </w:r>
      <w:bookmarkEnd w:id="294"/>
      <w:bookmarkEnd w:id="295"/>
      <w:bookmarkEnd w:id="296"/>
      <w:bookmarkEnd w:id="297"/>
      <w:bookmarkEnd w:id="298"/>
      <w:bookmarkEnd w:id="299"/>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1、因货物的质量问题发生争议，由质量技术监督部门或其指定的质量鉴定机构进行质量鉴定。货物符合标准的，鉴定费由甲方承担；货物不符合质量标准的，鉴定费由乙方承担。</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2、合同履行期间,若双方发生争议，可协商或由有关部门调解解决，协商或调解不成的，双方有权向甲方</w:t>
      </w:r>
      <w:r>
        <w:rPr>
          <w:rFonts w:hint="eastAsia" w:ascii="宋体" w:hAnsi="宋体" w:cs="宋体"/>
          <w:sz w:val="24"/>
          <w:szCs w:val="22"/>
          <w:lang w:val="en-US" w:eastAsia="zh-CN"/>
        </w:rPr>
        <w:t>住所</w:t>
      </w:r>
      <w:r>
        <w:rPr>
          <w:rFonts w:hint="eastAsia" w:ascii="宋体" w:hAnsi="宋体" w:cs="宋体"/>
          <w:sz w:val="24"/>
          <w:szCs w:val="22"/>
        </w:rPr>
        <w:t>地人民法院提起诉讼。</w:t>
      </w:r>
    </w:p>
    <w:p>
      <w:pPr>
        <w:pStyle w:val="5"/>
        <w:pageBreakBefore w:val="0"/>
        <w:widowControl w:val="0"/>
        <w:kinsoku/>
        <w:wordWrap/>
        <w:overflowPunct/>
        <w:topLinePunct w:val="0"/>
        <w:autoSpaceDE/>
        <w:autoSpaceDN/>
        <w:bidi w:val="0"/>
        <w:adjustRightInd/>
        <w:snapToGrid/>
        <w:spacing w:line="500" w:lineRule="exact"/>
        <w:ind w:firstLine="480" w:firstLineChars="200"/>
        <w:textAlignment w:val="auto"/>
        <w:rPr>
          <w:rFonts w:ascii="黑体" w:hAnsi="宋体"/>
          <w:b w:val="0"/>
          <w:color w:val="000000"/>
          <w:sz w:val="24"/>
          <w:szCs w:val="24"/>
        </w:rPr>
      </w:pPr>
      <w:bookmarkStart w:id="300" w:name="_Toc389566856"/>
      <w:bookmarkStart w:id="301" w:name="_Toc217446115"/>
      <w:bookmarkStart w:id="302" w:name="_Toc373658519"/>
      <w:bookmarkStart w:id="303" w:name="_Toc309640012"/>
      <w:bookmarkStart w:id="304" w:name="_Toc309639856"/>
      <w:r>
        <w:rPr>
          <w:rFonts w:hint="eastAsia" w:ascii="黑体" w:hAnsi="宋体"/>
          <w:b w:val="0"/>
          <w:color w:val="000000"/>
          <w:sz w:val="24"/>
          <w:szCs w:val="24"/>
        </w:rPr>
        <w:t>九、其他</w:t>
      </w:r>
      <w:bookmarkEnd w:id="300"/>
      <w:bookmarkEnd w:id="301"/>
      <w:bookmarkEnd w:id="302"/>
      <w:bookmarkEnd w:id="303"/>
      <w:bookmarkEnd w:id="304"/>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1、如有未尽事宜，由双方依法订立补充合同。</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2"/>
        </w:rPr>
      </w:pPr>
      <w:r>
        <w:rPr>
          <w:rFonts w:hint="eastAsia" w:ascii="宋体" w:hAnsi="宋体" w:cs="宋体"/>
          <w:sz w:val="24"/>
          <w:szCs w:val="22"/>
        </w:rPr>
        <w:t>2、本合同一式</w:t>
      </w:r>
      <w:r>
        <w:rPr>
          <w:rFonts w:hint="eastAsia" w:ascii="宋体" w:hAnsi="宋体" w:cs="宋体"/>
          <w:sz w:val="24"/>
          <w:szCs w:val="22"/>
          <w:lang w:val="en-US" w:eastAsia="zh-CN"/>
        </w:rPr>
        <w:t>陆</w:t>
      </w:r>
      <w:r>
        <w:rPr>
          <w:rFonts w:hint="eastAsia" w:ascii="宋体" w:hAnsi="宋体" w:cs="宋体"/>
          <w:sz w:val="24"/>
          <w:szCs w:val="22"/>
        </w:rPr>
        <w:t>份，自双方签章之日起生效。甲方</w:t>
      </w:r>
      <w:r>
        <w:rPr>
          <w:rFonts w:hint="eastAsia" w:ascii="宋体" w:hAnsi="宋体" w:cs="宋体"/>
          <w:sz w:val="24"/>
          <w:szCs w:val="22"/>
          <w:lang w:val="en-US" w:eastAsia="zh-CN"/>
        </w:rPr>
        <w:t>叁份，</w:t>
      </w:r>
      <w:r>
        <w:rPr>
          <w:rFonts w:hint="eastAsia" w:ascii="宋体" w:hAnsi="宋体" w:cs="宋体"/>
          <w:sz w:val="24"/>
          <w:szCs w:val="22"/>
        </w:rPr>
        <w:t>乙方</w:t>
      </w:r>
      <w:r>
        <w:rPr>
          <w:rFonts w:hint="eastAsia" w:ascii="宋体" w:hAnsi="宋体" w:cs="宋体"/>
          <w:sz w:val="24"/>
          <w:szCs w:val="22"/>
          <w:lang w:eastAsia="zh-CN"/>
        </w:rPr>
        <w:t>叁</w:t>
      </w:r>
      <w:r>
        <w:rPr>
          <w:rFonts w:hint="eastAsia" w:ascii="宋体" w:hAnsi="宋体" w:cs="宋体"/>
          <w:sz w:val="24"/>
          <w:szCs w:val="22"/>
        </w:rPr>
        <w:t>份。</w:t>
      </w:r>
    </w:p>
    <w:p>
      <w:pPr>
        <w:pStyle w:val="7"/>
        <w:pageBreakBefore w:val="0"/>
        <w:widowControl w:val="0"/>
        <w:kinsoku/>
        <w:wordWrap/>
        <w:overflowPunct/>
        <w:topLinePunct w:val="0"/>
        <w:autoSpaceDE/>
        <w:autoSpaceDN/>
        <w:bidi w:val="0"/>
        <w:adjustRightInd/>
        <w:snapToGrid/>
        <w:spacing w:line="500" w:lineRule="exact"/>
        <w:ind w:firstLineChars="175"/>
        <w:textAlignment w:val="auto"/>
        <w:rPr>
          <w:rFonts w:ascii="宋体" w:hAnsi="宋体" w:cs="宋体"/>
          <w:sz w:val="24"/>
        </w:rPr>
      </w:pPr>
    </w:p>
    <w:p>
      <w:pPr>
        <w:pStyle w:val="7"/>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val="0"/>
          <w:bCs w:val="0"/>
          <w:kern w:val="2"/>
          <w:sz w:val="24"/>
          <w:szCs w:val="22"/>
          <w:lang w:val="en-US" w:eastAsia="zh-CN"/>
        </w:rPr>
      </w:pPr>
      <w:r>
        <w:rPr>
          <w:rFonts w:hint="eastAsia" w:ascii="宋体" w:hAnsi="宋体" w:cs="宋体"/>
          <w:sz w:val="24"/>
        </w:rPr>
        <w:t>甲方：</w:t>
      </w:r>
      <w:r>
        <w:rPr>
          <w:rFonts w:hint="eastAsia" w:ascii="宋体" w:hAnsi="宋体"/>
          <w:sz w:val="24"/>
        </w:rPr>
        <w:t>四川能投</w:t>
      </w:r>
      <w:r>
        <w:rPr>
          <w:rFonts w:hint="eastAsia" w:ascii="宋体" w:hAnsi="宋体"/>
          <w:sz w:val="24"/>
          <w:lang w:val="en-US" w:eastAsia="zh-CN"/>
        </w:rPr>
        <w:t>广元燃气发电</w:t>
      </w:r>
      <w:r>
        <w:rPr>
          <w:rFonts w:hint="eastAsia" w:ascii="宋体" w:hAnsi="宋体"/>
          <w:sz w:val="24"/>
        </w:rPr>
        <w:t xml:space="preserve">有限公司   </w:t>
      </w:r>
      <w:r>
        <w:rPr>
          <w:rFonts w:hint="eastAsia" w:ascii="宋体" w:hAnsi="宋体"/>
          <w:sz w:val="24"/>
          <w:lang w:val="en-US" w:eastAsia="zh-CN"/>
        </w:rPr>
        <w:t xml:space="preserve"> </w:t>
      </w:r>
      <w:r>
        <w:rPr>
          <w:rFonts w:hint="eastAsia" w:ascii="宋体" w:hAnsi="宋体"/>
          <w:sz w:val="24"/>
          <w:lang w:eastAsia="zh-CN"/>
        </w:rPr>
        <w:t>乙</w:t>
      </w:r>
      <w:r>
        <w:rPr>
          <w:rFonts w:hint="eastAsia" w:ascii="宋体" w:hAnsi="宋体" w:cs="宋体"/>
          <w:sz w:val="24"/>
          <w:lang w:eastAsia="zh-CN"/>
        </w:rPr>
        <w:t>方</w:t>
      </w:r>
      <w:r>
        <w:rPr>
          <w:rFonts w:hint="eastAsia" w:ascii="宋体" w:hAnsi="宋体" w:cs="宋体"/>
          <w:sz w:val="24"/>
        </w:rPr>
        <w:t>：</w:t>
      </w:r>
    </w:p>
    <w:p>
      <w:pPr>
        <w:pStyle w:val="7"/>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cs="宋体"/>
          <w:sz w:val="24"/>
        </w:rPr>
      </w:pPr>
      <w:r>
        <w:rPr>
          <w:rFonts w:hint="eastAsia" w:ascii="宋体" w:hAnsi="宋体" w:cs="宋体"/>
          <w:sz w:val="24"/>
        </w:rPr>
        <w:t>法定代表人</w:t>
      </w: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cs="宋体"/>
          <w:sz w:val="24"/>
        </w:rPr>
        <w:t>法定代表人：</w:t>
      </w:r>
    </w:p>
    <w:p>
      <w:pPr>
        <w:pStyle w:val="7"/>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rPr>
      </w:pPr>
      <w:r>
        <w:rPr>
          <w:rFonts w:hint="eastAsia" w:ascii="宋体" w:hAnsi="宋体" w:cs="宋体"/>
          <w:sz w:val="24"/>
        </w:rPr>
        <w:t>地      址：</w:t>
      </w:r>
      <w:r>
        <w:rPr>
          <w:rFonts w:hint="eastAsia" w:ascii="宋体" w:hAnsi="宋体"/>
          <w:sz w:val="24"/>
        </w:rPr>
        <w:t>成都市</w:t>
      </w:r>
      <w:r>
        <w:rPr>
          <w:rFonts w:hint="eastAsia" w:ascii="宋体" w:hAnsi="宋体"/>
          <w:sz w:val="24"/>
          <w:lang w:val="en-US" w:eastAsia="zh-CN"/>
        </w:rPr>
        <w:t>武侯区</w:t>
      </w:r>
      <w:r>
        <w:rPr>
          <w:rFonts w:hint="eastAsia" w:ascii="宋体" w:hAnsi="宋体"/>
          <w:spacing w:val="10"/>
          <w:sz w:val="24"/>
          <w:lang w:val="en-US" w:eastAsia="zh-CN"/>
        </w:rPr>
        <w:t xml:space="preserve">天府大道     </w:t>
      </w:r>
      <w:r>
        <w:rPr>
          <w:rFonts w:hint="eastAsia" w:ascii="宋体" w:hAnsi="宋体" w:cs="宋体"/>
          <w:sz w:val="24"/>
        </w:rPr>
        <w:t>地    址：</w:t>
      </w:r>
    </w:p>
    <w:p>
      <w:pPr>
        <w:pStyle w:val="7"/>
        <w:pageBreakBefore w:val="0"/>
        <w:widowControl w:val="0"/>
        <w:kinsoku/>
        <w:wordWrap/>
        <w:overflowPunct/>
        <w:topLinePunct w:val="0"/>
        <w:autoSpaceDE/>
        <w:autoSpaceDN/>
        <w:bidi w:val="0"/>
        <w:adjustRightInd/>
        <w:snapToGrid/>
        <w:spacing w:line="500" w:lineRule="exact"/>
        <w:ind w:firstLineChars="175"/>
        <w:textAlignment w:val="auto"/>
        <w:rPr>
          <w:rFonts w:hint="default" w:ascii="宋体" w:hAnsi="宋体" w:eastAsia="宋体"/>
          <w:sz w:val="24"/>
          <w:lang w:val="en-US" w:eastAsia="zh-CN"/>
        </w:rPr>
      </w:pPr>
      <w:r>
        <w:rPr>
          <w:rFonts w:hint="eastAsia" w:ascii="宋体" w:hAnsi="宋体"/>
          <w:sz w:val="24"/>
        </w:rPr>
        <w:t xml:space="preserve">      </w:t>
      </w:r>
      <w:r>
        <w:rPr>
          <w:rFonts w:hint="eastAsia" w:ascii="宋体" w:hAnsi="宋体"/>
          <w:sz w:val="24"/>
          <w:lang w:val="en-US" w:eastAsia="zh-CN"/>
        </w:rPr>
        <w:t>中段279号成达大厦10楼</w:t>
      </w:r>
    </w:p>
    <w:p>
      <w:pPr>
        <w:pStyle w:val="7"/>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rPr>
      </w:pPr>
      <w:r>
        <w:rPr>
          <w:rFonts w:hint="eastAsia" w:ascii="宋体" w:hAnsi="宋体" w:cs="宋体"/>
          <w:sz w:val="24"/>
        </w:rPr>
        <w:t>开户银行：</w:t>
      </w:r>
      <w:r>
        <w:rPr>
          <w:rFonts w:hint="eastAsia" w:ascii="宋体" w:hAnsi="宋体" w:cs="Times New Roman"/>
          <w:sz w:val="24"/>
        </w:rPr>
        <w:t xml:space="preserve"> </w:t>
      </w:r>
      <w:r>
        <w:rPr>
          <w:rFonts w:hint="eastAsia" w:ascii="宋体" w:hAnsi="宋体" w:cs="Times New Roman"/>
          <w:sz w:val="24"/>
          <w:lang w:val="en-US" w:eastAsia="zh-CN"/>
        </w:rPr>
        <w:t>中国工商银行广元开发区</w:t>
      </w:r>
      <w:r>
        <w:rPr>
          <w:rFonts w:hint="eastAsia" w:ascii="宋体" w:hAnsi="宋体" w:eastAsia="宋体"/>
          <w:sz w:val="24"/>
          <w:szCs w:val="24"/>
        </w:rPr>
        <w:t>支行</w:t>
      </w:r>
      <w:r>
        <w:rPr>
          <w:rFonts w:hint="eastAsia" w:ascii="宋体" w:hAnsi="宋体" w:cs="宋体"/>
          <w:sz w:val="24"/>
        </w:rPr>
        <w:t xml:space="preserve">   开户银行：</w:t>
      </w:r>
      <w:r>
        <w:rPr>
          <w:rFonts w:hint="eastAsia" w:ascii="宋体" w:hAnsi="宋体"/>
          <w:sz w:val="24"/>
        </w:rPr>
        <w:t xml:space="preserve">                           </w:t>
      </w:r>
    </w:p>
    <w:p>
      <w:pPr>
        <w:pStyle w:val="7"/>
        <w:pageBreakBefore w:val="0"/>
        <w:widowControl w:val="0"/>
        <w:kinsoku/>
        <w:wordWrap/>
        <w:overflowPunct/>
        <w:topLinePunct w:val="0"/>
        <w:autoSpaceDE/>
        <w:autoSpaceDN/>
        <w:bidi w:val="0"/>
        <w:adjustRightInd/>
        <w:snapToGrid/>
        <w:spacing w:line="500" w:lineRule="exact"/>
        <w:ind w:firstLine="0" w:firstLineChars="0"/>
        <w:textAlignment w:val="auto"/>
        <w:rPr>
          <w:rFonts w:ascii="宋体" w:hAnsi="宋体" w:cs="宋体"/>
          <w:sz w:val="24"/>
        </w:rPr>
      </w:pPr>
      <w:r>
        <w:rPr>
          <w:rFonts w:hint="eastAsia" w:ascii="宋体" w:hAnsi="宋体" w:cs="宋体"/>
          <w:sz w:val="24"/>
        </w:rPr>
        <w:t>账    号：</w:t>
      </w:r>
      <w:r>
        <w:rPr>
          <w:rFonts w:hint="eastAsia" w:ascii="宋体" w:hAnsi="宋体" w:eastAsia="宋体"/>
          <w:sz w:val="24"/>
          <w:szCs w:val="24"/>
        </w:rPr>
        <w:t>2</w:t>
      </w:r>
      <w:r>
        <w:rPr>
          <w:rFonts w:hint="eastAsia" w:ascii="宋体" w:hAnsi="宋体" w:eastAsia="宋体"/>
          <w:sz w:val="24"/>
          <w:szCs w:val="24"/>
          <w:lang w:val="en-US" w:eastAsia="zh-CN"/>
        </w:rPr>
        <w:t>309442309100039452</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cs="宋体"/>
          <w:sz w:val="24"/>
        </w:rPr>
        <w:t>账   号：</w:t>
      </w:r>
    </w:p>
    <w:p>
      <w:pPr>
        <w:pStyle w:val="7"/>
        <w:pageBreakBefore w:val="0"/>
        <w:widowControl w:val="0"/>
        <w:kinsoku/>
        <w:wordWrap/>
        <w:overflowPunct/>
        <w:topLinePunct w:val="0"/>
        <w:autoSpaceDE/>
        <w:autoSpaceDN/>
        <w:bidi w:val="0"/>
        <w:adjustRightInd/>
        <w:snapToGrid/>
        <w:spacing w:line="500" w:lineRule="exact"/>
        <w:ind w:firstLine="0" w:firstLineChars="0"/>
        <w:textAlignment w:val="auto"/>
        <w:rPr>
          <w:rFonts w:ascii="宋体" w:hAnsi="宋体" w:cs="宋体"/>
          <w:sz w:val="24"/>
        </w:rPr>
      </w:pPr>
      <w:r>
        <w:rPr>
          <w:rFonts w:hint="eastAsia" w:ascii="宋体" w:hAnsi="宋体" w:cs="宋体"/>
          <w:sz w:val="24"/>
        </w:rPr>
        <w:t xml:space="preserve">电    话：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   话：</w:t>
      </w:r>
    </w:p>
    <w:p>
      <w:pPr>
        <w:pStyle w:val="7"/>
        <w:pageBreakBefore w:val="0"/>
        <w:widowControl w:val="0"/>
        <w:kinsoku/>
        <w:wordWrap/>
        <w:overflowPunct/>
        <w:topLinePunct w:val="0"/>
        <w:autoSpaceDE/>
        <w:autoSpaceDN/>
        <w:bidi w:val="0"/>
        <w:adjustRightInd/>
        <w:snapToGrid/>
        <w:spacing w:line="500" w:lineRule="exact"/>
        <w:ind w:firstLine="0" w:firstLineChars="0"/>
        <w:textAlignment w:val="auto"/>
        <w:rPr>
          <w:rFonts w:ascii="宋体" w:hAnsi="宋体" w:cs="宋体"/>
          <w:sz w:val="24"/>
        </w:rPr>
      </w:pPr>
      <w:r>
        <w:rPr>
          <w:rFonts w:hint="eastAsia" w:ascii="宋体" w:hAnsi="宋体" w:cs="宋体"/>
          <w:sz w:val="24"/>
        </w:rPr>
        <w:t xml:space="preserve">传    真：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传   真：</w:t>
      </w:r>
    </w:p>
    <w:p>
      <w:pPr>
        <w:pStyle w:val="7"/>
        <w:pageBreakBefore w:val="0"/>
        <w:widowControl w:val="0"/>
        <w:kinsoku/>
        <w:wordWrap/>
        <w:overflowPunct/>
        <w:topLinePunct w:val="0"/>
        <w:autoSpaceDE/>
        <w:autoSpaceDN/>
        <w:bidi w:val="0"/>
        <w:adjustRightInd/>
        <w:snapToGrid/>
        <w:spacing w:line="500" w:lineRule="exact"/>
        <w:ind w:firstLine="0" w:firstLineChars="0"/>
        <w:textAlignment w:val="auto"/>
        <w:rPr>
          <w:rFonts w:ascii="宋体" w:hAnsi="宋体" w:cs="宋体"/>
          <w:sz w:val="24"/>
        </w:rPr>
      </w:pPr>
      <w:r>
        <w:rPr>
          <w:rFonts w:hint="eastAsia" w:ascii="宋体" w:hAnsi="宋体" w:cs="宋体"/>
          <w:sz w:val="24"/>
        </w:rPr>
        <w:t>签约日期：20</w:t>
      </w:r>
      <w:r>
        <w:rPr>
          <w:rFonts w:hint="eastAsia" w:ascii="宋体" w:hAnsi="宋体" w:cs="宋体"/>
          <w:sz w:val="24"/>
          <w:lang w:val="en-US" w:eastAsia="zh-CN"/>
        </w:rPr>
        <w:t>22</w:t>
      </w:r>
      <w:r>
        <w:rPr>
          <w:rFonts w:hint="eastAsia" w:ascii="宋体" w:hAnsi="宋体" w:cs="宋体"/>
          <w:sz w:val="24"/>
        </w:rPr>
        <w:t xml:space="preserve">年    月   日 </w:t>
      </w:r>
      <w:r>
        <w:rPr>
          <w:rFonts w:hint="eastAsia" w:ascii="宋体" w:hAnsi="宋体" w:cs="宋体"/>
          <w:sz w:val="24"/>
        </w:rPr>
        <w:tab/>
      </w:r>
      <w:r>
        <w:rPr>
          <w:rFonts w:hint="eastAsia" w:ascii="宋体" w:hAnsi="宋体" w:cs="宋体"/>
          <w:sz w:val="24"/>
          <w:lang w:val="en-US" w:eastAsia="zh-CN"/>
        </w:rPr>
        <w:t xml:space="preserve">   </w:t>
      </w:r>
      <w:r>
        <w:rPr>
          <w:rFonts w:hint="eastAsia" w:ascii="宋体" w:hAnsi="宋体" w:cs="宋体"/>
          <w:sz w:val="24"/>
        </w:rPr>
        <w:t xml:space="preserve">    签约日期：20</w:t>
      </w:r>
      <w:r>
        <w:rPr>
          <w:rFonts w:hint="eastAsia" w:ascii="宋体" w:hAnsi="宋体" w:cs="宋体"/>
          <w:sz w:val="24"/>
          <w:lang w:val="en-US" w:eastAsia="zh-CN"/>
        </w:rPr>
        <w:t>22</w:t>
      </w:r>
      <w:r>
        <w:rPr>
          <w:rFonts w:hint="eastAsia" w:ascii="宋体" w:hAnsi="宋体" w:cs="宋体"/>
          <w:sz w:val="24"/>
        </w:rPr>
        <w:t>年    月   日</w:t>
      </w:r>
    </w:p>
    <w:p>
      <w:pPr>
        <w:rPr>
          <w:rFonts w:hint="eastAsia" w:ascii="宋体" w:hAnsi="宋体" w:eastAsia="宋体"/>
          <w:b/>
          <w:sz w:val="28"/>
          <w:szCs w:val="28"/>
        </w:rPr>
      </w:pPr>
      <w:r>
        <w:rPr>
          <w:rFonts w:hint="eastAsia" w:ascii="宋体" w:hAnsi="宋体" w:eastAsia="宋体"/>
          <w:b/>
          <w:sz w:val="28"/>
          <w:szCs w:val="28"/>
        </w:rPr>
        <w:br w:type="page"/>
      </w:r>
    </w:p>
    <w:p>
      <w:pPr>
        <w:pStyle w:val="2"/>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spacing w:after="0" w:line="500" w:lineRule="exact"/>
        <w:jc w:val="center"/>
        <w:textAlignment w:val="auto"/>
        <w:outlineLvl w:val="2"/>
      </w:pPr>
      <w:r>
        <w:rPr>
          <w:rFonts w:ascii="宋体" w:hAnsi="宋体" w:eastAsia="宋体"/>
          <w:b/>
          <w:sz w:val="28"/>
          <w:szCs w:val="28"/>
        </w:rPr>
        <w:t>廉 政 合 同</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为了贯彻落实党中央、国务院《关于实行党风廉政建设责任制的规定》，加强党风廉政建设，预防和减少经济违规违法行为，保证项目优质、高效、有序地进行，</w:t>
      </w:r>
      <w:r>
        <w:rPr>
          <w:rFonts w:hint="eastAsia" w:ascii="仿宋_GB2312" w:eastAsia="仿宋_GB2312"/>
          <w:b/>
          <w:bCs/>
          <w:sz w:val="32"/>
          <w:szCs w:val="32"/>
          <w:u w:val="single"/>
          <w:lang w:val="en-US" w:eastAsia="zh-CN"/>
        </w:rPr>
        <w:t>四川能投广元燃气发电有限公司</w:t>
      </w:r>
      <w:r>
        <w:rPr>
          <w:rFonts w:hint="eastAsia" w:ascii="仿宋_GB2312" w:eastAsia="仿宋_GB2312"/>
          <w:sz w:val="32"/>
          <w:szCs w:val="32"/>
          <w:lang w:val="en-US" w:eastAsia="zh-CN"/>
        </w:rPr>
        <w:t>（以下简称“甲方”）和</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（以下简称“乙方”）自愿签定</w:t>
      </w:r>
      <w:r>
        <w:rPr>
          <w:rFonts w:hint="eastAsia" w:ascii="仿宋_GB2312" w:eastAsia="仿宋_GB2312"/>
          <w:b/>
          <w:bCs/>
          <w:sz w:val="32"/>
          <w:szCs w:val="32"/>
          <w:u w:val="single"/>
          <w:lang w:val="en-US" w:eastAsia="zh-CN"/>
        </w:rPr>
        <w:t>广元燃机工程建设期生活用房家具采购</w:t>
      </w:r>
      <w:r>
        <w:rPr>
          <w:rFonts w:hint="eastAsia" w:ascii="仿宋_GB2312" w:eastAsia="仿宋_GB2312"/>
          <w:sz w:val="32"/>
          <w:szCs w:val="32"/>
          <w:lang w:val="en-US" w:eastAsia="zh-CN"/>
        </w:rPr>
        <w:t>（项目名称）廉政合同。</w:t>
      </w:r>
    </w:p>
    <w:p>
      <w:pPr>
        <w:keepNext w:val="0"/>
        <w:keepLines w:val="0"/>
        <w:pageBreakBefore w:val="0"/>
        <w:widowControl w:val="0"/>
        <w:kinsoku/>
        <w:wordWrap/>
        <w:overflowPunct/>
        <w:topLinePunct w:val="0"/>
        <w:autoSpaceDE/>
        <w:autoSpaceDN/>
        <w:bidi w:val="0"/>
        <w:adjustRightInd/>
        <w:snapToGrid/>
        <w:spacing w:after="0" w:line="50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一、甲方和乙方双方约定</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1、甲方、乙方双方应共同遵守国家和省、市以及行业主管部门关于加强党风廉政建设的各项规定。</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2、甲方、乙方双方应认真执行各方签订的合同文件，自觉按合同办事。</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3、除法律认定的商业秘密或合同文件另有规定外，甲方、乙方双方的业务活动均应支持公开、公平、诚实信用的原则，严禁从事损害国家和集体利益的不正当交易。</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4、甲方、乙方双方有对本方人员开展廉政教育和职业道德教育的义务。</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5、甲方、乙方双方应加强对本方人员廉政监督、建立和健全廉政制度，杜绝本方人员违纪违法行为的发生。</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ascii="宋体" w:hAnsi="宋体" w:eastAsia="宋体"/>
          <w:sz w:val="28"/>
          <w:szCs w:val="28"/>
        </w:rPr>
      </w:pPr>
      <w:r>
        <w:rPr>
          <w:rFonts w:hint="eastAsia" w:ascii="仿宋_GB2312" w:eastAsia="仿宋_GB2312"/>
          <w:sz w:val="32"/>
          <w:szCs w:val="32"/>
          <w:lang w:val="en-US" w:eastAsia="zh-CN"/>
        </w:rPr>
        <w:t>6、甲方、乙方双方如发现其中一方人员业务活动中有不廉行为，有权提醒对方并督促期纠正，或直接向另一方法人代表、纪检部门如实反映情况和认真查处本方人员违纪违法行为。</w:t>
      </w:r>
    </w:p>
    <w:p>
      <w:pPr>
        <w:keepNext w:val="0"/>
        <w:keepLines w:val="0"/>
        <w:pageBreakBefore w:val="0"/>
        <w:widowControl w:val="0"/>
        <w:kinsoku/>
        <w:wordWrap/>
        <w:overflowPunct/>
        <w:topLinePunct w:val="0"/>
        <w:autoSpaceDE/>
        <w:autoSpaceDN/>
        <w:bidi w:val="0"/>
        <w:adjustRightInd/>
        <w:snapToGrid/>
        <w:spacing w:after="0" w:line="50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二、甲方在廉政建设方面的责任</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1、甲方及其工作人员不得以任何形式向乙方索要或收受回扣。</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2、甲方及其工作人员不得接受乙方的礼金、有价证券和贵重物品；不得在乙方报销任何应由个人支付的费用。</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3、甲方及其工作人员及其亲友不能参加乙方组织的可能对公正执行公务有影响的宴请、娱乐和旅游活动。</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4、甲方及其工作人员不得要求或者接受乙方为其住房装修、婚丧嫁娶、家属子女的工作安排以及出省、出国等提供方便。</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5、甲方及其工作人员不得向乙方介绍其家属或亲友从事与甲方项目有关的及材料设备供应、工程转包、劳务等经济活动。</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6、甲方及其工作人员不得以任何理由向乙方强行推荐分包单位；不得强行要求乙方购买合同规定外的任何及材料和设备。</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7、甲方及其工作人员不得在家里接待乙方有关项目事项的询访。</w:t>
      </w:r>
    </w:p>
    <w:p>
      <w:pPr>
        <w:keepNext w:val="0"/>
        <w:keepLines w:val="0"/>
        <w:pageBreakBefore w:val="0"/>
        <w:widowControl w:val="0"/>
        <w:kinsoku/>
        <w:wordWrap/>
        <w:overflowPunct/>
        <w:topLinePunct w:val="0"/>
        <w:autoSpaceDE/>
        <w:autoSpaceDN/>
        <w:bidi w:val="0"/>
        <w:adjustRightInd/>
        <w:snapToGrid/>
        <w:spacing w:after="0" w:line="50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三、乙方在廉政建设方面的责任</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1、乙方不得以任何理由向甲方及其工作人员行贿和馈赠礼品。</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2、乙方不得以任何理由或名义向甲方及其工作人员报支需由其个人支付的任何费用。</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3、乙方不得以任何理由公款请甲方及其工作人员或其亲友吃、喝、玩、娱乐等活动。</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4、乙方不得为甲方及其工作人员购置、提供通讯工具、交通工具、家电和办公用品等。</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5、乙方不得以任何理由（诸如：项目事项等）到甲方及其工作人员家里询访。</w:t>
      </w:r>
    </w:p>
    <w:p>
      <w:pPr>
        <w:keepNext w:val="0"/>
        <w:keepLines w:val="0"/>
        <w:pageBreakBefore w:val="0"/>
        <w:widowControl w:val="0"/>
        <w:kinsoku/>
        <w:wordWrap/>
        <w:overflowPunct/>
        <w:topLinePunct w:val="0"/>
        <w:autoSpaceDE/>
        <w:autoSpaceDN/>
        <w:bidi w:val="0"/>
        <w:adjustRightInd/>
        <w:snapToGrid/>
        <w:spacing w:after="0" w:line="50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四、违约责任</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1、甲方违反本合同第一条第1—6款和第二条第1-7款的，除按甲方单位及其上级党政部门党风廉政建设规定处分外，对当事人给予经济处罚，对构成犯罪的移送司法机关处理。</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乙方违反本合同第一条第1—6款和第三条第1-5款的，除按乙方单位及其上级党级部门党风廉政建设规定处罚外，视情节轻重和造成损失大小分别给予其所承担采购合同款总额的3%至5%的违约罚款，并上报省、市有关部门，建议给予一年至三年不得进行采购的处罚，对构成犯罪的移送司法机关处理。</w:t>
      </w:r>
    </w:p>
    <w:p>
      <w:pPr>
        <w:keepNext w:val="0"/>
        <w:keepLines w:val="0"/>
        <w:pageBreakBefore w:val="0"/>
        <w:widowControl w:val="0"/>
        <w:kinsoku/>
        <w:wordWrap/>
        <w:overflowPunct/>
        <w:topLinePunct w:val="0"/>
        <w:autoSpaceDE/>
        <w:autoSpaceDN/>
        <w:bidi w:val="0"/>
        <w:adjustRightInd/>
        <w:snapToGrid/>
        <w:spacing w:after="0" w:line="50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五、对督查单位的约定</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双方约定：本“廉政合同”的督查单位为甲方、乙方双方纪检监察部门。</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六、本“合同”有效期自甲方、乙方双方签署之日起至该项目合同终止为止。</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ascii="宋体" w:hAnsi="宋体" w:eastAsia="宋体"/>
          <w:sz w:val="28"/>
          <w:szCs w:val="28"/>
        </w:rPr>
      </w:pPr>
      <w:r>
        <w:rPr>
          <w:rFonts w:hint="eastAsia" w:ascii="仿宋_GB2312" w:eastAsia="仿宋_GB2312"/>
          <w:sz w:val="32"/>
          <w:szCs w:val="32"/>
          <w:lang w:val="en-US" w:eastAsia="zh-CN"/>
        </w:rPr>
        <w:t>七、本“合同”作为</w:t>
      </w:r>
      <w:r>
        <w:rPr>
          <w:rFonts w:hint="eastAsia" w:ascii="仿宋_GB2312" w:eastAsia="仿宋_GB2312"/>
          <w:b/>
          <w:bCs/>
          <w:sz w:val="32"/>
          <w:szCs w:val="32"/>
          <w:u w:val="single"/>
          <w:lang w:val="en-US" w:eastAsia="zh-CN"/>
        </w:rPr>
        <w:t>广元燃机工程建设期生活用房家具采购</w:t>
      </w:r>
      <w:r>
        <w:rPr>
          <w:rFonts w:hint="eastAsia" w:ascii="仿宋_GB2312" w:eastAsia="仿宋_GB2312"/>
          <w:sz w:val="32"/>
          <w:szCs w:val="32"/>
          <w:lang w:val="en-US" w:eastAsia="zh-CN"/>
        </w:rPr>
        <w:t>（项目名称）合同的附件，具有同等的法律效力，合同经各方法定代表人或授权委托代表签字或盖章，并加盖单位公章后生效。</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ascii="宋体" w:hAnsi="宋体" w:eastAsia="宋体"/>
          <w:sz w:val="28"/>
          <w:szCs w:val="28"/>
        </w:rPr>
      </w:pPr>
      <w:r>
        <w:rPr>
          <w:rFonts w:hint="eastAsia" w:ascii="宋体" w:hAnsi="宋体" w:eastAsia="宋体"/>
          <w:sz w:val="28"/>
          <w:szCs w:val="28"/>
        </w:rPr>
        <w:t>八、</w:t>
      </w:r>
      <w:r>
        <w:rPr>
          <w:rFonts w:hint="eastAsia" w:ascii="仿宋_GB2312" w:eastAsia="仿宋_GB2312"/>
          <w:sz w:val="32"/>
          <w:szCs w:val="32"/>
          <w:lang w:val="en-US" w:eastAsia="zh-CN"/>
        </w:rPr>
        <w:t>本合同一式</w:t>
      </w:r>
      <w:r>
        <w:rPr>
          <w:rFonts w:hint="eastAsia" w:ascii="仿宋_GB2312" w:eastAsia="仿宋_GB2312"/>
          <w:b/>
          <w:bCs/>
          <w:sz w:val="32"/>
          <w:szCs w:val="32"/>
          <w:u w:val="single"/>
          <w:lang w:val="en-US" w:eastAsia="zh-CN"/>
        </w:rPr>
        <w:t>陆</w:t>
      </w:r>
      <w:r>
        <w:rPr>
          <w:rFonts w:hint="eastAsia" w:ascii="仿宋_GB2312" w:eastAsia="仿宋_GB2312"/>
          <w:sz w:val="32"/>
          <w:szCs w:val="32"/>
          <w:lang w:val="en-US" w:eastAsia="zh-CN"/>
        </w:rPr>
        <w:t>份。甲方、乙方各执</w:t>
      </w:r>
      <w:r>
        <w:rPr>
          <w:rFonts w:hint="eastAsia" w:ascii="仿宋_GB2312" w:eastAsia="仿宋_GB2312"/>
          <w:b/>
          <w:bCs/>
          <w:sz w:val="32"/>
          <w:szCs w:val="32"/>
          <w:u w:val="single"/>
          <w:lang w:val="en-US" w:eastAsia="zh-CN"/>
        </w:rPr>
        <w:t>叁</w:t>
      </w:r>
      <w:r>
        <w:rPr>
          <w:rFonts w:hint="eastAsia" w:ascii="仿宋_GB2312" w:eastAsia="仿宋_GB2312"/>
          <w:sz w:val="32"/>
          <w:szCs w:val="32"/>
          <w:lang w:val="en-US" w:eastAsia="zh-CN"/>
        </w:rPr>
        <w:t>份</w:t>
      </w:r>
      <w:r>
        <w:rPr>
          <w:rFonts w:hint="eastAsia" w:ascii="宋体" w:hAnsi="宋体" w:eastAsia="宋体"/>
          <w:sz w:val="28"/>
          <w:szCs w:val="28"/>
        </w:rPr>
        <w:t>。</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after="0" w:line="500" w:lineRule="exact"/>
        <w:ind w:left="-676" w:leftChars="-322" w:firstLine="630" w:firstLineChars="225"/>
        <w:jc w:val="both"/>
        <w:textAlignment w:val="auto"/>
        <w:rPr>
          <w:rFonts w:ascii="宋体" w:hAnsi="宋体" w:eastAsia="宋体"/>
          <w:sz w:val="28"/>
          <w:szCs w:val="28"/>
        </w:rPr>
      </w:pPr>
      <w:r>
        <w:rPr>
          <w:rFonts w:hint="eastAsia" w:ascii="宋体" w:hAnsi="宋体" w:eastAsia="宋体"/>
          <w:sz w:val="28"/>
          <w:szCs w:val="28"/>
          <w:lang w:eastAsia="zh-CN"/>
        </w:rPr>
        <w:t>甲方</w:t>
      </w:r>
      <w:r>
        <w:rPr>
          <w:rFonts w:ascii="宋体" w:hAnsi="宋体" w:eastAsia="宋体"/>
          <w:sz w:val="28"/>
          <w:szCs w:val="28"/>
        </w:rPr>
        <w:t>：</w:t>
      </w:r>
      <w:r>
        <w:rPr>
          <w:rFonts w:hint="eastAsia" w:ascii="宋体" w:hAnsi="宋体" w:eastAsia="宋体"/>
          <w:sz w:val="28"/>
          <w:szCs w:val="28"/>
        </w:rPr>
        <w:t xml:space="preserve">                             </w:t>
      </w:r>
      <w:r>
        <w:rPr>
          <w:rFonts w:hint="eastAsia" w:ascii="宋体" w:hAnsi="宋体" w:eastAsia="宋体"/>
          <w:sz w:val="28"/>
          <w:szCs w:val="28"/>
          <w:lang w:eastAsia="zh-CN"/>
        </w:rPr>
        <w:t>乙</w:t>
      </w:r>
      <w:r>
        <w:rPr>
          <w:rFonts w:hint="eastAsia" w:ascii="宋体" w:hAnsi="宋体" w:eastAsia="宋体"/>
          <w:sz w:val="28"/>
          <w:szCs w:val="28"/>
        </w:rPr>
        <w:t>方</w:t>
      </w: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500" w:lineRule="exact"/>
        <w:ind w:left="-811" w:leftChars="-386" w:firstLine="630" w:firstLineChars="225"/>
        <w:jc w:val="both"/>
        <w:textAlignment w:val="auto"/>
        <w:rPr>
          <w:rFonts w:ascii="宋体" w:hAnsi="宋体" w:eastAsia="宋体"/>
          <w:sz w:val="28"/>
          <w:szCs w:val="28"/>
        </w:rPr>
      </w:pPr>
      <w:r>
        <w:rPr>
          <w:rFonts w:ascii="宋体" w:hAnsi="宋体" w:eastAsia="宋体"/>
          <w:sz w:val="28"/>
          <w:szCs w:val="28"/>
        </w:rPr>
        <w:t>（盖单位公章）                     （盖单位公章）</w:t>
      </w:r>
    </w:p>
    <w:p>
      <w:pPr>
        <w:keepNext w:val="0"/>
        <w:keepLines w:val="0"/>
        <w:pageBreakBefore w:val="0"/>
        <w:widowControl w:val="0"/>
        <w:kinsoku/>
        <w:wordWrap/>
        <w:overflowPunct/>
        <w:topLinePunct w:val="0"/>
        <w:autoSpaceDE/>
        <w:autoSpaceDN/>
        <w:bidi w:val="0"/>
        <w:adjustRightInd/>
        <w:snapToGrid/>
        <w:spacing w:after="0" w:line="500" w:lineRule="exact"/>
        <w:ind w:left="-811" w:leftChars="-386" w:firstLine="770" w:firstLineChars="275"/>
        <w:jc w:val="both"/>
        <w:textAlignment w:val="auto"/>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before="260" w:after="260" w:line="500" w:lineRule="exact"/>
        <w:jc w:val="center"/>
        <w:textAlignment w:val="auto"/>
        <w:outlineLvl w:val="9"/>
        <w:rPr>
          <w:rFonts w:hint="eastAsia" w:eastAsia="宋体"/>
          <w:lang w:val="en-US" w:eastAsia="zh-CN"/>
        </w:rPr>
        <w:sectPr>
          <w:headerReference r:id="rId8" w:type="first"/>
          <w:footerReference r:id="rId10" w:type="first"/>
          <w:headerReference r:id="rId7" w:type="default"/>
          <w:footerReference r:id="rId9" w:type="default"/>
          <w:pgSz w:w="11906" w:h="16838"/>
          <w:pgMar w:top="1440" w:right="1469" w:bottom="1400" w:left="179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ascii="宋体" w:hAnsi="宋体" w:eastAsia="宋体"/>
          <w:sz w:val="28"/>
          <w:szCs w:val="28"/>
        </w:rPr>
        <w:t xml:space="preserve">法定代表人：                      </w:t>
      </w:r>
      <w:r>
        <w:rPr>
          <w:rFonts w:hint="eastAsia" w:ascii="宋体" w:hAnsi="宋体" w:eastAsia="宋体"/>
          <w:sz w:val="28"/>
          <w:szCs w:val="28"/>
        </w:rPr>
        <w:t xml:space="preserve"> </w:t>
      </w:r>
      <w:r>
        <w:rPr>
          <w:rFonts w:ascii="宋体" w:hAnsi="宋体" w:eastAsia="宋体"/>
          <w:sz w:val="28"/>
          <w:szCs w:val="28"/>
        </w:rPr>
        <w:t>法定代表人：                  （或</w:t>
      </w:r>
      <w:r>
        <w:rPr>
          <w:rFonts w:hint="eastAsia" w:ascii="宋体" w:hAnsi="宋体" w:eastAsia="宋体"/>
          <w:sz w:val="28"/>
          <w:szCs w:val="28"/>
        </w:rPr>
        <w:t>授权委托代表</w:t>
      </w:r>
      <w:r>
        <w:rPr>
          <w:rFonts w:ascii="宋体" w:hAnsi="宋体" w:eastAsia="宋体"/>
          <w:sz w:val="28"/>
          <w:szCs w:val="28"/>
        </w:rPr>
        <w:t>）</w:t>
      </w:r>
      <w:r>
        <w:rPr>
          <w:rFonts w:hint="eastAsia" w:ascii="宋体" w:hAnsi="宋体" w:eastAsia="宋体"/>
          <w:sz w:val="28"/>
          <w:szCs w:val="28"/>
        </w:rPr>
        <w:t>[签字或盖章]</w:t>
      </w:r>
      <w:r>
        <w:rPr>
          <w:rFonts w:ascii="宋体" w:hAnsi="宋体" w:eastAsia="宋体"/>
          <w:sz w:val="28"/>
          <w:szCs w:val="28"/>
        </w:rPr>
        <w:t>： （或</w:t>
      </w:r>
      <w:r>
        <w:rPr>
          <w:rFonts w:hint="eastAsia" w:ascii="宋体" w:hAnsi="宋体" w:eastAsia="宋体"/>
          <w:sz w:val="28"/>
          <w:szCs w:val="28"/>
        </w:rPr>
        <w:t>授权委托代表</w:t>
      </w:r>
      <w:r>
        <w:rPr>
          <w:rFonts w:ascii="宋体" w:hAnsi="宋体" w:eastAsia="宋体"/>
          <w:sz w:val="28"/>
          <w:szCs w:val="28"/>
        </w:rPr>
        <w:t>）</w:t>
      </w:r>
      <w:r>
        <w:rPr>
          <w:rFonts w:hint="eastAsia" w:ascii="宋体" w:hAnsi="宋体" w:eastAsia="宋体"/>
          <w:sz w:val="28"/>
          <w:szCs w:val="28"/>
        </w:rPr>
        <w:t>[签字或盖章]</w:t>
      </w:r>
    </w:p>
    <w:p>
      <w:pPr>
        <w:pStyle w:val="7"/>
        <w:kinsoku/>
        <w:overflowPunct/>
        <w:topLinePunct w:val="0"/>
        <w:bidi w:val="0"/>
        <w:spacing w:line="560" w:lineRule="exact"/>
        <w:ind w:left="0" w:leftChars="0" w:firstLine="0" w:firstLineChars="0"/>
        <w:rPr>
          <w:rFonts w:ascii="宋体" w:hAnsi="宋体" w:cs="宋体"/>
          <w:sz w:val="24"/>
        </w:rPr>
      </w:pPr>
    </w:p>
    <w:p>
      <w:pPr>
        <w:pStyle w:val="4"/>
        <w:pageBreakBefore w:val="0"/>
        <w:widowControl w:val="0"/>
        <w:numPr>
          <w:ilvl w:val="0"/>
          <w:numId w:val="5"/>
        </w:numPr>
        <w:kinsoku/>
        <w:wordWrap/>
        <w:overflowPunct/>
        <w:topLinePunct w:val="0"/>
        <w:autoSpaceDE/>
        <w:autoSpaceDN/>
        <w:bidi w:val="0"/>
        <w:adjustRightInd/>
        <w:snapToGrid/>
        <w:spacing w:before="260" w:after="260" w:line="560" w:lineRule="exact"/>
        <w:jc w:val="center"/>
        <w:textAlignment w:val="auto"/>
        <w:rPr>
          <w:rFonts w:hint="eastAsia"/>
          <w:lang w:eastAsia="zh-CN"/>
        </w:rPr>
      </w:pPr>
      <w:bookmarkStart w:id="305" w:name="_Toc466206537"/>
      <w:r>
        <w:rPr>
          <w:rFonts w:hint="eastAsia" w:ascii="宋体" w:hAnsi="宋体" w:cs="宋体"/>
          <w:szCs w:val="32"/>
        </w:rPr>
        <w:t xml:space="preserve"> 采购</w:t>
      </w:r>
      <w:bookmarkEnd w:id="305"/>
      <w:r>
        <w:rPr>
          <w:rFonts w:hint="eastAsia" w:ascii="宋体" w:hAnsi="宋体" w:cs="宋体"/>
          <w:szCs w:val="32"/>
          <w:lang w:eastAsia="zh-CN"/>
        </w:rPr>
        <w:t>清单</w:t>
      </w:r>
    </w:p>
    <w:tbl>
      <w:tblPr>
        <w:tblStyle w:val="1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9"/>
        <w:gridCol w:w="746"/>
        <w:gridCol w:w="1326"/>
        <w:gridCol w:w="3144"/>
        <w:gridCol w:w="470"/>
        <w:gridCol w:w="780"/>
        <w:gridCol w:w="620"/>
        <w:gridCol w:w="6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79"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p>
        </w:tc>
        <w:tc>
          <w:tcPr>
            <w:tcW w:w="746"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项目名称</w:t>
            </w:r>
          </w:p>
        </w:tc>
        <w:tc>
          <w:tcPr>
            <w:tcW w:w="1326"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规格</w:t>
            </w:r>
          </w:p>
        </w:tc>
        <w:tc>
          <w:tcPr>
            <w:tcW w:w="3144"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材质</w:t>
            </w:r>
          </w:p>
        </w:tc>
        <w:tc>
          <w:tcPr>
            <w:tcW w:w="470"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单位</w:t>
            </w:r>
          </w:p>
        </w:tc>
        <w:tc>
          <w:tcPr>
            <w:tcW w:w="780"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数量</w:t>
            </w:r>
          </w:p>
        </w:tc>
        <w:tc>
          <w:tcPr>
            <w:tcW w:w="620"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单价</w:t>
            </w:r>
          </w:p>
        </w:tc>
        <w:tc>
          <w:tcPr>
            <w:tcW w:w="692"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157" w:type="dxa"/>
            <w:gridSpan w:val="8"/>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Times New Roman"/>
                <w:sz w:val="18"/>
                <w:szCs w:val="18"/>
              </w:rPr>
            </w:pPr>
            <w:r>
              <w:rPr>
                <w:rFonts w:hint="eastAsia"/>
                <w:b/>
                <w:sz w:val="18"/>
                <w:szCs w:val="18"/>
                <w:lang w:val="en-US" w:eastAsia="zh-CN"/>
              </w:rPr>
              <w:t>员工宿舍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jc w:val="center"/>
        </w:trPr>
        <w:tc>
          <w:tcPr>
            <w:tcW w:w="37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sz w:val="15"/>
                <w:szCs w:val="15"/>
              </w:rPr>
              <w:t>1</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4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eastAsia="宋体"/>
                <w:sz w:val="15"/>
                <w:szCs w:val="15"/>
                <w:lang w:val="en-US" w:eastAsia="zh-CN"/>
              </w:rPr>
            </w:pPr>
            <w:r>
              <w:rPr>
                <w:rFonts w:hint="eastAsia"/>
                <w:sz w:val="15"/>
                <w:szCs w:val="15"/>
                <w:lang w:val="en-US" w:eastAsia="zh-CN"/>
              </w:rPr>
              <w:t>床</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rFonts w:hint="eastAsia"/>
                <w:sz w:val="15"/>
                <w:szCs w:val="15"/>
                <w:lang w:val="en-US" w:eastAsia="zh-CN"/>
              </w:rPr>
              <w:t>12</w:t>
            </w:r>
            <w:r>
              <w:rPr>
                <w:sz w:val="15"/>
                <w:szCs w:val="15"/>
              </w:rPr>
              <w:t>00*</w:t>
            </w:r>
            <w:r>
              <w:rPr>
                <w:rFonts w:hint="eastAsia"/>
                <w:sz w:val="15"/>
                <w:szCs w:val="15"/>
                <w:lang w:val="en-US" w:eastAsia="zh-CN"/>
              </w:rPr>
              <w:t>2000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sz w:val="15"/>
                <w:szCs w:val="15"/>
              </w:rPr>
            </w:pPr>
            <w:r>
              <w:rPr>
                <w:rFonts w:hint="eastAsia"/>
                <w:sz w:val="15"/>
                <w:szCs w:val="15"/>
                <w:lang w:val="en-US" w:eastAsia="zh-CN"/>
              </w:rPr>
              <w:t>1.</w:t>
            </w:r>
            <w:r>
              <w:rPr>
                <w:rFonts w:hint="eastAsia"/>
                <w:sz w:val="15"/>
                <w:szCs w:val="15"/>
                <w:lang w:eastAsia="zh-CN"/>
              </w:rPr>
              <w:t>基材</w:t>
            </w:r>
            <w:r>
              <w:rPr>
                <w:sz w:val="15"/>
                <w:szCs w:val="15"/>
              </w:rPr>
              <w:t>：</w:t>
            </w:r>
            <w:r>
              <w:rPr>
                <w:rFonts w:hint="eastAsia"/>
                <w:sz w:val="15"/>
                <w:szCs w:val="15"/>
                <w:lang w:val="en-US" w:eastAsia="zh-CN"/>
              </w:rPr>
              <w:t>实木（松木、柏木、橡胶木）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sz w:val="15"/>
                <w:szCs w:val="15"/>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sz w:val="15"/>
                <w:szCs w:val="15"/>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20</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1500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eastAsia="宋体"/>
                <w:b/>
                <w:sz w:val="15"/>
                <w:szCs w:val="15"/>
                <w:lang w:eastAsia="zh-CN"/>
              </w:rPr>
            </w:pPr>
            <w:r>
              <w:rPr>
                <w:rFonts w:hint="eastAsia"/>
                <w:sz w:val="15"/>
                <w:szCs w:val="15"/>
                <w:lang w:val="en-US" w:eastAsia="zh-CN"/>
              </w:rPr>
              <w:t>1.</w:t>
            </w:r>
            <w:r>
              <w:rPr>
                <w:rFonts w:hint="eastAsia"/>
                <w:sz w:val="15"/>
                <w:szCs w:val="15"/>
                <w:lang w:eastAsia="zh-CN"/>
              </w:rPr>
              <w:t>基材</w:t>
            </w:r>
            <w:r>
              <w:rPr>
                <w:sz w:val="15"/>
                <w:szCs w:val="15"/>
              </w:rPr>
              <w:t>：</w:t>
            </w:r>
            <w:r>
              <w:rPr>
                <w:rFonts w:hint="eastAsia"/>
                <w:sz w:val="15"/>
                <w:szCs w:val="15"/>
                <w:lang w:val="en-US" w:eastAsia="zh-CN"/>
              </w:rPr>
              <w:t>实木（松木、柏木、橡胶木）2.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37</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1800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b/>
                <w:sz w:val="15"/>
                <w:szCs w:val="15"/>
              </w:rPr>
            </w:pPr>
            <w:r>
              <w:rPr>
                <w:rFonts w:hint="eastAsia"/>
                <w:sz w:val="15"/>
                <w:szCs w:val="15"/>
                <w:lang w:val="en-US" w:eastAsia="zh-CN"/>
              </w:rPr>
              <w:t>1.</w:t>
            </w:r>
            <w:r>
              <w:rPr>
                <w:rFonts w:hint="eastAsia"/>
                <w:sz w:val="15"/>
                <w:szCs w:val="15"/>
                <w:lang w:eastAsia="zh-CN"/>
              </w:rPr>
              <w:t>基材</w:t>
            </w:r>
            <w:r>
              <w:rPr>
                <w:sz w:val="15"/>
                <w:szCs w:val="15"/>
              </w:rPr>
              <w:t>：</w:t>
            </w:r>
            <w:r>
              <w:rPr>
                <w:rFonts w:hint="eastAsia"/>
                <w:sz w:val="15"/>
                <w:szCs w:val="15"/>
                <w:lang w:val="en-US" w:eastAsia="zh-CN"/>
              </w:rPr>
              <w:t>实木（松木、柏木、橡胶木）2.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2</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eastAsia="宋体"/>
                <w:sz w:val="15"/>
                <w:szCs w:val="15"/>
                <w:lang w:val="en-US" w:eastAsia="zh-CN"/>
              </w:rPr>
            </w:pPr>
            <w:r>
              <w:rPr>
                <w:rFonts w:hint="eastAsia"/>
                <w:sz w:val="15"/>
                <w:szCs w:val="15"/>
                <w:lang w:val="en-US" w:eastAsia="zh-CN"/>
              </w:rPr>
              <w:t>床头柜</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480</w:t>
            </w:r>
            <w:r>
              <w:rPr>
                <w:rFonts w:hint="eastAsia" w:ascii="宋体" w:hAnsi="宋体" w:eastAsia="宋体" w:cs="宋体"/>
                <w:sz w:val="15"/>
                <w:szCs w:val="15"/>
                <w:lang w:val="en-US" w:eastAsia="zh-CN"/>
              </w:rPr>
              <w:t>*</w:t>
            </w:r>
            <w:r>
              <w:rPr>
                <w:rFonts w:hint="eastAsia"/>
                <w:sz w:val="15"/>
                <w:szCs w:val="15"/>
                <w:lang w:val="en-US" w:eastAsia="zh-CN"/>
              </w:rPr>
              <w:t>400</w:t>
            </w:r>
            <w:r>
              <w:rPr>
                <w:rFonts w:hint="eastAsia" w:ascii="宋体" w:hAnsi="宋体" w:eastAsia="宋体" w:cs="宋体"/>
                <w:sz w:val="15"/>
                <w:szCs w:val="15"/>
                <w:lang w:val="en-US" w:eastAsia="zh-CN"/>
              </w:rPr>
              <w:t>*</w:t>
            </w:r>
            <w:r>
              <w:rPr>
                <w:rFonts w:hint="eastAsia"/>
                <w:sz w:val="15"/>
                <w:szCs w:val="15"/>
                <w:lang w:val="en-US" w:eastAsia="zh-CN"/>
              </w:rPr>
              <w:t>500</w:t>
            </w:r>
          </w:p>
        </w:tc>
        <w:tc>
          <w:tcPr>
            <w:tcW w:w="3144" w:type="dxa"/>
            <w:tcBorders>
              <w:tl2br w:val="nil"/>
              <w:tr2bl w:val="nil"/>
            </w:tcBorders>
            <w:noWrap w:val="0"/>
            <w:vAlign w:val="center"/>
          </w:tcPr>
          <w:p>
            <w:pPr>
              <w:pStyle w:val="23"/>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eastAsia="zh-CN"/>
              </w:rPr>
              <w:t>基材</w:t>
            </w:r>
            <w:r>
              <w:rPr>
                <w:sz w:val="15"/>
                <w:szCs w:val="15"/>
              </w:rPr>
              <w:t>：</w:t>
            </w:r>
            <w:r>
              <w:rPr>
                <w:rFonts w:hint="eastAsia"/>
                <w:sz w:val="15"/>
                <w:szCs w:val="15"/>
                <w:lang w:val="en-US" w:eastAsia="zh-CN"/>
              </w:rPr>
              <w:t>实木（松木、柏木、橡胶木）2.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个</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53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37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3</w:t>
            </w:r>
          </w:p>
        </w:tc>
        <w:tc>
          <w:tcPr>
            <w:tcW w:w="74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床垫</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1200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left"/>
              <w:textAlignment w:val="auto"/>
              <w:rPr>
                <w:rFonts w:hint="default"/>
                <w:sz w:val="15"/>
                <w:szCs w:val="15"/>
                <w:lang w:val="en-US" w:eastAsia="zh-CN"/>
              </w:rPr>
            </w:pPr>
            <w:r>
              <w:rPr>
                <w:rFonts w:hint="eastAsia"/>
                <w:sz w:val="15"/>
                <w:szCs w:val="15"/>
                <w:lang w:val="en-US" w:eastAsia="zh-CN"/>
              </w:rPr>
              <w:t>甲醛椰棕80mm</w:t>
            </w:r>
          </w:p>
        </w:tc>
        <w:tc>
          <w:tcPr>
            <w:tcW w:w="47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b w:val="0"/>
                <w:bCs w:val="0"/>
                <w:sz w:val="15"/>
                <w:szCs w:val="15"/>
                <w:u w:val="none"/>
                <w:lang w:val="en-US" w:eastAsia="zh-CN"/>
              </w:rPr>
            </w:pPr>
            <w:r>
              <w:rPr>
                <w:rFonts w:hint="eastAsia" w:eastAsia="宋体"/>
                <w:b w:val="0"/>
                <w:bCs w:val="0"/>
                <w:sz w:val="15"/>
                <w:szCs w:val="15"/>
                <w:u w:val="none"/>
                <w:lang w:val="en-US" w:eastAsia="zh-CN"/>
              </w:rPr>
              <w:t>20</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b w:val="0"/>
                <w:bCs w:val="0"/>
                <w:sz w:val="15"/>
                <w:szCs w:val="15"/>
                <w:u w:val="none"/>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b w:val="0"/>
                <w:bCs w:val="0"/>
                <w:sz w:val="15"/>
                <w:szCs w:val="15"/>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1500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b w:val="0"/>
                <w:bCs w:val="0"/>
                <w:sz w:val="15"/>
                <w:szCs w:val="15"/>
                <w:u w:val="none"/>
                <w:lang w:val="en-US" w:eastAsia="zh-CN"/>
              </w:rPr>
            </w:pPr>
            <w:r>
              <w:rPr>
                <w:rFonts w:hint="eastAsia"/>
                <w:b w:val="0"/>
                <w:bCs w:val="0"/>
                <w:sz w:val="15"/>
                <w:szCs w:val="15"/>
                <w:u w:val="none"/>
                <w:lang w:val="en-US" w:eastAsia="zh-CN"/>
              </w:rPr>
              <w:t>37</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b w:val="0"/>
                <w:bCs w:val="0"/>
                <w:sz w:val="15"/>
                <w:szCs w:val="15"/>
                <w:u w:val="none"/>
                <w:lang w:val="en-US"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b w:val="0"/>
                <w:bCs w:val="0"/>
                <w:sz w:val="15"/>
                <w:szCs w:val="15"/>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1800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b w:val="0"/>
                <w:bCs w:val="0"/>
                <w:sz w:val="15"/>
                <w:szCs w:val="15"/>
                <w:u w:val="none"/>
                <w:lang w:val="en-US" w:eastAsia="zh-CN"/>
              </w:rPr>
            </w:pPr>
            <w:r>
              <w:rPr>
                <w:rFonts w:hint="eastAsia"/>
                <w:b w:val="0"/>
                <w:bCs w:val="0"/>
                <w:sz w:val="15"/>
                <w:szCs w:val="15"/>
                <w:u w:val="none"/>
                <w:lang w:val="en-US" w:eastAsia="zh-CN"/>
              </w:rPr>
              <w:t>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b w:val="0"/>
                <w:bCs w:val="0"/>
                <w:sz w:val="15"/>
                <w:szCs w:val="15"/>
                <w:u w:val="none"/>
                <w:lang w:val="en-US"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b w:val="0"/>
                <w:bCs w:val="0"/>
                <w:sz w:val="15"/>
                <w:szCs w:val="15"/>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jc w:val="center"/>
        </w:trPr>
        <w:tc>
          <w:tcPr>
            <w:tcW w:w="37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4</w:t>
            </w:r>
          </w:p>
        </w:tc>
        <w:tc>
          <w:tcPr>
            <w:tcW w:w="74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sz w:val="15"/>
                <w:szCs w:val="15"/>
              </w:rPr>
              <w:t>沙发</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sz w:val="15"/>
                <w:szCs w:val="15"/>
              </w:rPr>
              <w:t>单人位</w:t>
            </w:r>
          </w:p>
        </w:tc>
        <w:tc>
          <w:tcPr>
            <w:tcW w:w="3144"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1.面材：进口优质牛皮；</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sz w:val="15"/>
                <w:szCs w:val="15"/>
              </w:rPr>
            </w:pPr>
            <w:r>
              <w:rPr>
                <w:rFonts w:hint="eastAsia"/>
                <w:sz w:val="15"/>
                <w:szCs w:val="15"/>
                <w:lang w:val="en-US" w:eastAsia="zh-CN"/>
              </w:rPr>
              <w:t>2.基材：黄云香与青松木料框架打底，高弹一次成型不助燃无毒海绵，通过BS7174-1995安全测试标准，在点燃火种离开10秒后，海绵自动结焦熄灭，少毒无烟，密度为29#-40#范围）</w:t>
            </w:r>
          </w:p>
        </w:tc>
        <w:tc>
          <w:tcPr>
            <w:tcW w:w="47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sz w:val="15"/>
                <w:szCs w:val="15"/>
              </w:rPr>
              <w:t>把</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sz w:val="15"/>
                <w:szCs w:val="15"/>
                <w:lang w:val="en-US" w:eastAsia="zh-CN"/>
              </w:rPr>
            </w:pPr>
            <w:r>
              <w:rPr>
                <w:rFonts w:hint="eastAsia" w:eastAsia="宋体"/>
                <w:sz w:val="15"/>
                <w:szCs w:val="15"/>
                <w:lang w:val="en-US" w:eastAsia="zh-CN"/>
              </w:rPr>
              <w:t>5</w:t>
            </w:r>
          </w:p>
        </w:tc>
        <w:tc>
          <w:tcPr>
            <w:tcW w:w="62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双人位</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5</w:t>
            </w:r>
          </w:p>
        </w:tc>
        <w:tc>
          <w:tcPr>
            <w:tcW w:w="62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692"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三人位</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2</w:t>
            </w:r>
          </w:p>
        </w:tc>
        <w:tc>
          <w:tcPr>
            <w:tcW w:w="62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692"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firstLine="150" w:firstLineChars="100"/>
              <w:jc w:val="center"/>
              <w:textAlignment w:val="auto"/>
              <w:rPr>
                <w:rFonts w:hint="default" w:eastAsia="宋体"/>
                <w:sz w:val="15"/>
                <w:szCs w:val="15"/>
                <w:lang w:val="en-US" w:eastAsia="zh-CN"/>
              </w:rPr>
            </w:pPr>
            <w:r>
              <w:rPr>
                <w:rFonts w:hint="eastAsia" w:eastAsia="宋体"/>
                <w:sz w:val="15"/>
                <w:szCs w:val="15"/>
                <w:lang w:val="en-US" w:eastAsia="zh-CN"/>
              </w:rPr>
              <w:t>5</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eastAsia="宋体"/>
                <w:sz w:val="15"/>
                <w:szCs w:val="15"/>
                <w:lang w:val="en-US" w:eastAsia="zh-CN"/>
              </w:rPr>
            </w:pPr>
            <w:r>
              <w:rPr>
                <w:rFonts w:hint="eastAsia"/>
                <w:sz w:val="15"/>
                <w:szCs w:val="15"/>
                <w:lang w:val="en-US" w:eastAsia="zh-CN"/>
              </w:rPr>
              <w:t>衣柜</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1360</w:t>
            </w:r>
            <w:r>
              <w:rPr>
                <w:rFonts w:hint="eastAsia" w:ascii="宋体" w:hAnsi="宋体" w:eastAsia="宋体" w:cs="宋体"/>
                <w:sz w:val="15"/>
                <w:szCs w:val="15"/>
                <w:lang w:val="en-US" w:eastAsia="zh-CN"/>
              </w:rPr>
              <w:t>*</w:t>
            </w:r>
            <w:r>
              <w:rPr>
                <w:rFonts w:hint="eastAsia"/>
                <w:sz w:val="15"/>
                <w:szCs w:val="15"/>
                <w:lang w:val="en-US" w:eastAsia="zh-CN"/>
              </w:rPr>
              <w:t>600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1.基材：柏木、橡胶木、松木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default"/>
                <w:sz w:val="15"/>
                <w:szCs w:val="15"/>
                <w:lang w:val="en-US" w:eastAsia="zh-CN"/>
              </w:rPr>
            </w:pPr>
            <w:r>
              <w:rPr>
                <w:rFonts w:hint="eastAsia"/>
                <w:sz w:val="15"/>
                <w:szCs w:val="15"/>
                <w:lang w:val="en-US" w:eastAsia="zh-CN"/>
              </w:rPr>
              <w:t>3.五金件：德国BMB、海蒂斯、海福乐</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个</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firstLine="300" w:firstLineChars="200"/>
              <w:jc w:val="both"/>
              <w:textAlignment w:val="auto"/>
              <w:rPr>
                <w:rFonts w:hint="default" w:eastAsia="宋体"/>
                <w:sz w:val="15"/>
                <w:szCs w:val="15"/>
                <w:lang w:val="en-US" w:eastAsia="zh-CN"/>
              </w:rPr>
            </w:pPr>
            <w:r>
              <w:rPr>
                <w:rFonts w:hint="eastAsia"/>
                <w:sz w:val="15"/>
                <w:szCs w:val="15"/>
                <w:lang w:val="en-US" w:eastAsia="zh-CN"/>
              </w:rPr>
              <w:t>41</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sz w:val="15"/>
                <w:szCs w:val="15"/>
                <w:lang w:val="en-US" w:eastAsia="zh-CN"/>
              </w:rPr>
            </w:pPr>
            <w:r>
              <w:rPr>
                <w:rFonts w:hint="eastAsia" w:eastAsia="宋体"/>
                <w:sz w:val="15"/>
                <w:szCs w:val="15"/>
                <w:lang w:val="en-US" w:eastAsia="zh-CN"/>
              </w:rPr>
              <w:t>6</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sz w:val="15"/>
                <w:szCs w:val="15"/>
              </w:rPr>
            </w:pPr>
            <w:r>
              <w:rPr>
                <w:sz w:val="15"/>
                <w:szCs w:val="15"/>
              </w:rPr>
              <w:t>茶几</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sz w:val="15"/>
                <w:szCs w:val="15"/>
              </w:rPr>
            </w:pPr>
            <w:r>
              <w:rPr>
                <w:sz w:val="15"/>
                <w:szCs w:val="15"/>
              </w:rPr>
              <w:t>1</w:t>
            </w:r>
            <w:r>
              <w:rPr>
                <w:rFonts w:hint="eastAsia"/>
                <w:sz w:val="15"/>
                <w:szCs w:val="15"/>
                <w:lang w:val="en-US" w:eastAsia="zh-CN"/>
              </w:rPr>
              <w:t>2</w:t>
            </w:r>
            <w:r>
              <w:rPr>
                <w:sz w:val="15"/>
                <w:szCs w:val="15"/>
              </w:rPr>
              <w:t>00*700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1.基材：柏木、橡胶木、松木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default"/>
                <w:sz w:val="15"/>
                <w:szCs w:val="15"/>
                <w:lang w:val="en-US" w:eastAsia="zh-CN"/>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sz w:val="15"/>
                <w:szCs w:val="15"/>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sz w:val="15"/>
                <w:szCs w:val="15"/>
                <w:lang w:val="en-US" w:eastAsia="zh-CN"/>
              </w:rPr>
            </w:pPr>
            <w:r>
              <w:rPr>
                <w:rFonts w:hint="eastAsia" w:eastAsia="宋体"/>
                <w:sz w:val="15"/>
                <w:szCs w:val="15"/>
                <w:lang w:val="en-US" w:eastAsia="zh-CN"/>
              </w:rPr>
              <w:t>5</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7" w:hRule="atLeast"/>
          <w:jc w:val="center"/>
        </w:trPr>
        <w:tc>
          <w:tcPr>
            <w:tcW w:w="37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7</w:t>
            </w:r>
          </w:p>
        </w:tc>
        <w:tc>
          <w:tcPr>
            <w:tcW w:w="74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餐桌（圆桌）</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2000 mm 直径</w:t>
            </w:r>
          </w:p>
        </w:tc>
        <w:tc>
          <w:tcPr>
            <w:tcW w:w="3144"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1.基材：“大亚”、“福人”、“丰林”或同等级品牌中密度纤维板；E1级环保标准；</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2.面材：10mm厚实木木皮；</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3.油漆：“华润”、“大宝”、“嘉宝莉”或同等级品牌油漆，UV全自动生产线封闭涂装；漆膜表面硬度达到3H，耐磨等级达到1级</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4.五金件：德国BMB、海蒂斯、海福乐</w:t>
            </w:r>
          </w:p>
        </w:tc>
        <w:tc>
          <w:tcPr>
            <w:tcW w:w="47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1</w:t>
            </w:r>
          </w:p>
        </w:tc>
        <w:tc>
          <w:tcPr>
            <w:tcW w:w="62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sz w:val="15"/>
                <w:szCs w:val="15"/>
                <w:lang w:val="en-US" w:eastAsia="zh-CN"/>
              </w:rPr>
            </w:pPr>
            <w:r>
              <w:rPr>
                <w:rFonts w:hint="eastAsia"/>
                <w:sz w:val="15"/>
                <w:szCs w:val="15"/>
                <w:lang w:val="en-US" w:eastAsia="zh-CN"/>
              </w:rPr>
              <w:t>1500mm直径</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1</w:t>
            </w:r>
          </w:p>
        </w:tc>
        <w:tc>
          <w:tcPr>
            <w:tcW w:w="62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692"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3"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sz w:val="15"/>
                <w:szCs w:val="15"/>
                <w:lang w:val="en-US" w:eastAsia="zh-CN"/>
              </w:rPr>
            </w:pPr>
            <w:r>
              <w:rPr>
                <w:rFonts w:hint="eastAsia"/>
                <w:sz w:val="15"/>
                <w:szCs w:val="15"/>
                <w:lang w:val="en-US" w:eastAsia="zh-CN"/>
              </w:rPr>
              <w:t>1300 mm直径</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1</w:t>
            </w:r>
          </w:p>
        </w:tc>
        <w:tc>
          <w:tcPr>
            <w:tcW w:w="62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692"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8</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sz w:val="15"/>
                <w:szCs w:val="15"/>
                <w:lang w:val="en-US" w:eastAsia="zh-CN"/>
              </w:rPr>
            </w:pPr>
            <w:r>
              <w:rPr>
                <w:rFonts w:hint="eastAsia"/>
                <w:sz w:val="15"/>
                <w:szCs w:val="15"/>
                <w:lang w:val="en-US" w:eastAsia="zh-CN"/>
              </w:rPr>
              <w:t>圆桌椅</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sz w:val="15"/>
                <w:szCs w:val="15"/>
              </w:rPr>
            </w:pPr>
            <w:r>
              <w:rPr>
                <w:rFonts w:hint="eastAsia"/>
                <w:sz w:val="15"/>
                <w:szCs w:val="15"/>
                <w:lang w:val="en-US" w:eastAsia="zh-CN"/>
              </w:rPr>
              <w:t>常规尺寸</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1.基材：柏木、橡胶木、松木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sz w:val="15"/>
                <w:szCs w:val="15"/>
                <w:lang w:val="en-US" w:eastAsia="zh-CN"/>
              </w:rPr>
            </w:pPr>
            <w:r>
              <w:rPr>
                <w:rFonts w:hint="eastAsia"/>
                <w:sz w:val="15"/>
                <w:szCs w:val="15"/>
                <w:lang w:val="en-US" w:eastAsia="zh-CN"/>
              </w:rPr>
              <w:t>把</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eastAsia="宋体"/>
                <w:sz w:val="15"/>
                <w:szCs w:val="15"/>
                <w:lang w:val="en-US" w:eastAsia="zh-CN"/>
              </w:rPr>
              <w:t>30</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9</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sz w:val="15"/>
                <w:szCs w:val="15"/>
                <w:lang w:val="en-US" w:eastAsia="zh-CN"/>
              </w:rPr>
            </w:pPr>
            <w:r>
              <w:rPr>
                <w:rFonts w:hint="eastAsia"/>
                <w:sz w:val="15"/>
                <w:szCs w:val="15"/>
                <w:lang w:val="en-US" w:eastAsia="zh-CN"/>
              </w:rPr>
              <w:t>备餐柜</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sz w:val="15"/>
                <w:szCs w:val="15"/>
                <w:lang w:val="en-US" w:eastAsia="zh-CN"/>
              </w:rPr>
            </w:pPr>
            <w:r>
              <w:rPr>
                <w:rFonts w:hint="eastAsia"/>
                <w:sz w:val="15"/>
                <w:szCs w:val="15"/>
                <w:lang w:val="en-US" w:eastAsia="zh-CN"/>
              </w:rPr>
              <w:t>800</w:t>
            </w:r>
            <w:r>
              <w:rPr>
                <w:rFonts w:hint="eastAsia" w:ascii="宋体" w:hAnsi="宋体" w:eastAsia="宋体" w:cs="宋体"/>
                <w:sz w:val="15"/>
                <w:szCs w:val="15"/>
                <w:lang w:val="en-US" w:eastAsia="zh-CN"/>
              </w:rPr>
              <w:t>*</w:t>
            </w:r>
            <w:r>
              <w:rPr>
                <w:rFonts w:hint="eastAsia"/>
                <w:sz w:val="15"/>
                <w:szCs w:val="15"/>
                <w:lang w:val="en-US" w:eastAsia="zh-CN"/>
              </w:rPr>
              <w:t>400</w:t>
            </w:r>
            <w:r>
              <w:rPr>
                <w:rFonts w:hint="eastAsia" w:ascii="宋体" w:hAnsi="宋体" w:eastAsia="宋体" w:cs="宋体"/>
                <w:sz w:val="15"/>
                <w:szCs w:val="15"/>
                <w:lang w:val="en-US" w:eastAsia="zh-CN"/>
              </w:rPr>
              <w:t>*</w:t>
            </w:r>
            <w:r>
              <w:rPr>
                <w:rFonts w:hint="eastAsia"/>
                <w:sz w:val="15"/>
                <w:szCs w:val="15"/>
                <w:lang w:val="en-US" w:eastAsia="zh-CN"/>
              </w:rPr>
              <w:t>800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1.基材：柏木、橡胶木、松木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default"/>
                <w:sz w:val="15"/>
                <w:szCs w:val="15"/>
                <w:lang w:val="en-US" w:eastAsia="zh-CN"/>
              </w:rPr>
            </w:pPr>
            <w:r>
              <w:rPr>
                <w:rFonts w:hint="eastAsia"/>
                <w:sz w:val="15"/>
                <w:szCs w:val="15"/>
                <w:lang w:val="en-US" w:eastAsia="zh-CN"/>
              </w:rPr>
              <w:t>3.五金件：德国BMB、海蒂斯、海福</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sz w:val="15"/>
                <w:szCs w:val="15"/>
                <w:lang w:val="en-US" w:eastAsia="zh-CN"/>
              </w:rPr>
            </w:pPr>
            <w:r>
              <w:rPr>
                <w:rFonts w:hint="eastAsia"/>
                <w:sz w:val="15"/>
                <w:szCs w:val="15"/>
                <w:lang w:val="en-US" w:eastAsia="zh-CN"/>
              </w:rPr>
              <w:t>个</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eastAsia="宋体"/>
                <w:sz w:val="15"/>
                <w:szCs w:val="15"/>
                <w:lang w:val="en-US" w:eastAsia="zh-CN"/>
              </w:rPr>
            </w:pPr>
            <w:r>
              <w:rPr>
                <w:rFonts w:hint="eastAsia" w:eastAsia="宋体"/>
                <w:sz w:val="15"/>
                <w:szCs w:val="15"/>
                <w:lang w:val="en-US" w:eastAsia="zh-CN"/>
              </w:rPr>
              <w:t>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4"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10</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员工餐桌</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（方桌）</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rPr>
            </w:pPr>
            <w:r>
              <w:rPr>
                <w:rFonts w:hint="eastAsia"/>
                <w:sz w:val="15"/>
                <w:szCs w:val="15"/>
                <w:lang w:val="en-US" w:eastAsia="zh-CN"/>
              </w:rPr>
              <w:t>600</w:t>
            </w:r>
            <w:r>
              <w:rPr>
                <w:rFonts w:hint="eastAsia" w:ascii="宋体" w:hAnsi="宋体" w:eastAsia="宋体" w:cs="宋体"/>
                <w:sz w:val="15"/>
                <w:szCs w:val="15"/>
                <w:lang w:val="en-US" w:eastAsia="zh-CN"/>
              </w:rPr>
              <w:t>*</w:t>
            </w:r>
            <w:r>
              <w:rPr>
                <w:rFonts w:hint="eastAsia"/>
                <w:sz w:val="15"/>
                <w:szCs w:val="15"/>
                <w:lang w:val="en-US" w:eastAsia="zh-CN"/>
              </w:rPr>
              <w:t>700</w:t>
            </w:r>
            <w:r>
              <w:rPr>
                <w:rFonts w:hint="eastAsia" w:ascii="宋体" w:hAnsi="宋体" w:eastAsia="宋体" w:cs="宋体"/>
                <w:sz w:val="15"/>
                <w:szCs w:val="15"/>
                <w:lang w:val="en-US" w:eastAsia="zh-CN"/>
              </w:rPr>
              <w:t>*750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1.基材：“大亚”、“福人”、“丰林”或同等级品牌中密度纤维板；E1级环保标准；</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2.面材：10mm厚实木木皮；</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3.油漆：“华润”、“大宝”、“嘉宝莉”或同等级品牌油漆，UV全自动生产线封闭涂装；漆膜表面硬度达到3H，耐磨等级达到1级</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default"/>
                <w:sz w:val="15"/>
                <w:szCs w:val="15"/>
                <w:lang w:val="en-US" w:eastAsia="zh-CN"/>
              </w:rPr>
            </w:pPr>
            <w:r>
              <w:rPr>
                <w:rFonts w:hint="eastAsia"/>
                <w:sz w:val="15"/>
                <w:szCs w:val="15"/>
                <w:lang w:val="en-US" w:eastAsia="zh-CN"/>
              </w:rPr>
              <w:t>4.脚架不锈钢</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22</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11</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餐椅</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460</w:t>
            </w:r>
            <w:r>
              <w:rPr>
                <w:rFonts w:hint="eastAsia" w:ascii="宋体" w:hAnsi="宋体" w:eastAsia="宋体" w:cs="宋体"/>
                <w:sz w:val="15"/>
                <w:szCs w:val="15"/>
                <w:lang w:val="en-US" w:eastAsia="zh-CN"/>
              </w:rPr>
              <w:t>*</w:t>
            </w:r>
            <w:r>
              <w:rPr>
                <w:rFonts w:hint="eastAsia"/>
                <w:sz w:val="15"/>
                <w:szCs w:val="15"/>
                <w:lang w:val="en-US" w:eastAsia="zh-CN"/>
              </w:rPr>
              <w:t>500</w:t>
            </w:r>
            <w:r>
              <w:rPr>
                <w:rFonts w:hint="eastAsia" w:ascii="宋体" w:hAnsi="宋体" w:eastAsia="宋体" w:cs="宋体"/>
                <w:sz w:val="15"/>
                <w:szCs w:val="15"/>
                <w:lang w:val="en-US" w:eastAsia="zh-CN"/>
              </w:rPr>
              <w:t>*</w:t>
            </w:r>
            <w:r>
              <w:rPr>
                <w:rFonts w:hint="eastAsia"/>
                <w:sz w:val="15"/>
                <w:szCs w:val="15"/>
                <w:lang w:val="en-US" w:eastAsia="zh-CN"/>
              </w:rPr>
              <w:t>800</w:t>
            </w:r>
          </w:p>
        </w:tc>
        <w:tc>
          <w:tcPr>
            <w:tcW w:w="3144" w:type="dxa"/>
            <w:tcBorders>
              <w:tl2br w:val="nil"/>
              <w:tr2bl w:val="nil"/>
            </w:tcBorders>
            <w:noWrap w:val="0"/>
            <w:vAlign w:val="center"/>
          </w:tcPr>
          <w:p>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sz w:val="15"/>
                <w:szCs w:val="15"/>
                <w:lang w:val="en-US" w:eastAsia="zh-CN"/>
              </w:rPr>
            </w:pPr>
            <w:r>
              <w:rPr>
                <w:rFonts w:hint="eastAsia"/>
                <w:sz w:val="15"/>
                <w:szCs w:val="15"/>
                <w:lang w:val="en-US" w:eastAsia="zh-CN"/>
              </w:rPr>
              <w:t>1.PP（聚丙烯）和GF玻纤料配比合成树脂一体注塑成型。强度高韧性好，性能稳定，环保无臭、无毒  2.钢脚钢架Ø19*1.5采用粉体静电黑色喷塑 3.承重150公斤左右</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把</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44</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12</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卧室椅</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p>
        </w:tc>
        <w:tc>
          <w:tcPr>
            <w:tcW w:w="3144" w:type="dxa"/>
            <w:tcBorders>
              <w:tl2br w:val="nil"/>
              <w:tr2bl w:val="nil"/>
            </w:tcBorders>
            <w:noWrap w:val="0"/>
            <w:vAlign w:val="center"/>
          </w:tcPr>
          <w:p>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default"/>
                <w:sz w:val="15"/>
                <w:szCs w:val="15"/>
                <w:lang w:val="en-US" w:eastAsia="zh-CN"/>
              </w:rPr>
            </w:pPr>
            <w:r>
              <w:rPr>
                <w:rFonts w:hint="eastAsia"/>
                <w:sz w:val="15"/>
                <w:szCs w:val="15"/>
                <w:lang w:val="en-US" w:eastAsia="zh-CN"/>
              </w:rPr>
              <w:t>1.椅子基材：科技布软包、</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63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13</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卧室茶几</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sz w:val="15"/>
                <w:szCs w:val="15"/>
                <w:lang w:val="en-US" w:eastAsia="zh-CN"/>
              </w:rPr>
            </w:pPr>
            <w:r>
              <w:rPr>
                <w:rFonts w:hint="eastAsia"/>
                <w:sz w:val="15"/>
                <w:szCs w:val="15"/>
                <w:lang w:val="en-US" w:eastAsia="zh-CN"/>
              </w:rPr>
              <w:t>600</w:t>
            </w:r>
          </w:p>
        </w:tc>
        <w:tc>
          <w:tcPr>
            <w:tcW w:w="3144" w:type="dxa"/>
            <w:tcBorders>
              <w:tl2br w:val="nil"/>
              <w:tr2bl w:val="nil"/>
            </w:tcBorders>
            <w:noWrap w:val="0"/>
            <w:vAlign w:val="center"/>
          </w:tcPr>
          <w:p>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default"/>
                <w:sz w:val="15"/>
                <w:szCs w:val="15"/>
                <w:lang w:val="en-US" w:eastAsia="zh-CN"/>
              </w:rPr>
            </w:pPr>
            <w:r>
              <w:rPr>
                <w:rFonts w:hint="eastAsia"/>
                <w:sz w:val="15"/>
                <w:szCs w:val="15"/>
                <w:lang w:val="en-US" w:eastAsia="zh-CN"/>
              </w:rPr>
              <w:t>基材：岩板</w:t>
            </w:r>
            <w:r>
              <w:rPr>
                <w:rFonts w:hint="eastAsia" w:ascii="宋体" w:hAnsi="宋体" w:eastAsia="宋体" w:cs="宋体"/>
                <w:sz w:val="15"/>
                <w:szCs w:val="15"/>
                <w:lang w:val="en-US" w:eastAsia="zh-CN"/>
              </w:rPr>
              <w:t>＋</w:t>
            </w:r>
            <w:r>
              <w:rPr>
                <w:rFonts w:hint="eastAsia"/>
                <w:sz w:val="15"/>
                <w:szCs w:val="15"/>
                <w:lang w:val="en-US" w:eastAsia="zh-CN"/>
              </w:rPr>
              <w:t>金属脚架</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13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bl>
    <w:p>
      <w:pPr>
        <w:widowControl/>
        <w:kinsoku/>
        <w:overflowPunct/>
        <w:topLinePunct w:val="0"/>
        <w:bidi w:val="0"/>
        <w:spacing w:line="560" w:lineRule="exact"/>
        <w:jc w:val="left"/>
        <w:rPr>
          <w:rFonts w:hint="eastAsia" w:ascii="宋体" w:hAnsi="宋体"/>
          <w:b/>
          <w:sz w:val="10"/>
          <w:szCs w:val="10"/>
        </w:rPr>
      </w:pPr>
      <w:r>
        <w:rPr>
          <w:rFonts w:ascii="宋体" w:hAnsi="宋体"/>
          <w:sz w:val="28"/>
          <w:szCs w:val="28"/>
        </w:rPr>
        <w:br w:type="page"/>
      </w:r>
      <w:bookmarkStart w:id="306" w:name="_Toc466206538"/>
    </w:p>
    <w:p>
      <w:pPr>
        <w:pStyle w:val="6"/>
        <w:kinsoku/>
        <w:overflowPunct/>
        <w:topLinePunct w:val="0"/>
        <w:bidi w:val="0"/>
        <w:spacing w:line="560" w:lineRule="exact"/>
        <w:jc w:val="center"/>
        <w:rPr>
          <w:rFonts w:ascii="宋体" w:hAnsi="宋体" w:cs="宋体"/>
          <w:sz w:val="28"/>
          <w:szCs w:val="28"/>
        </w:rPr>
      </w:pPr>
      <w:r>
        <w:rPr>
          <w:rFonts w:hint="eastAsia" w:ascii="宋体" w:hAnsi="宋体" w:cs="宋体"/>
          <w:szCs w:val="32"/>
        </w:rPr>
        <w:t xml:space="preserve">第六章 </w:t>
      </w:r>
      <w:r>
        <w:rPr>
          <w:rFonts w:ascii="宋体" w:hAnsi="宋体" w:cs="宋体"/>
          <w:szCs w:val="32"/>
        </w:rPr>
        <w:t xml:space="preserve"> </w:t>
      </w:r>
      <w:r>
        <w:rPr>
          <w:rFonts w:hint="eastAsia" w:ascii="宋体" w:hAnsi="宋体" w:cs="宋体"/>
          <w:szCs w:val="32"/>
        </w:rPr>
        <w:t>响应文件格式</w:t>
      </w:r>
      <w:bookmarkEnd w:id="306"/>
      <w:bookmarkStart w:id="307" w:name="_Toc217446082"/>
    </w:p>
    <w:p>
      <w:pPr>
        <w:kinsoku/>
        <w:overflowPunct/>
        <w:topLinePunct w:val="0"/>
        <w:bidi w:val="0"/>
        <w:spacing w:line="560" w:lineRule="exact"/>
        <w:jc w:val="right"/>
        <w:rPr>
          <w:rFonts w:ascii="宋体" w:hAnsi="宋体"/>
          <w:sz w:val="32"/>
          <w:szCs w:val="32"/>
        </w:rPr>
      </w:pPr>
      <w:bookmarkStart w:id="308" w:name="_Toc325464857"/>
      <w:bookmarkStart w:id="309" w:name="_Toc317509428"/>
    </w:p>
    <w:p>
      <w:pPr>
        <w:kinsoku/>
        <w:overflowPunct/>
        <w:topLinePunct w:val="0"/>
        <w:bidi w:val="0"/>
        <w:spacing w:line="560" w:lineRule="exact"/>
        <w:jc w:val="center"/>
        <w:rPr>
          <w:rFonts w:ascii="宋体" w:hAnsi="宋体"/>
          <w:sz w:val="36"/>
          <w:szCs w:val="36"/>
        </w:rPr>
      </w:pPr>
      <w:r>
        <w:rPr>
          <w:rFonts w:hint="eastAsia" w:ascii="宋体" w:hAnsi="宋体"/>
          <w:sz w:val="36"/>
          <w:szCs w:val="36"/>
          <w:u w:val="single"/>
          <w:lang w:val="en-US" w:eastAsia="zh-CN"/>
        </w:rPr>
        <w:t>广元燃机工程建设期生活用房家具采购</w:t>
      </w:r>
    </w:p>
    <w:p>
      <w:pPr>
        <w:kinsoku/>
        <w:overflowPunct/>
        <w:topLinePunct w:val="0"/>
        <w:bidi w:val="0"/>
        <w:spacing w:line="560" w:lineRule="exact"/>
        <w:rPr>
          <w:rFonts w:ascii="宋体" w:hAnsi="宋体"/>
          <w:sz w:val="32"/>
          <w:szCs w:val="32"/>
        </w:rPr>
      </w:pPr>
    </w:p>
    <w:p>
      <w:pPr>
        <w:kinsoku/>
        <w:overflowPunct/>
        <w:topLinePunct w:val="0"/>
        <w:bidi w:val="0"/>
        <w:spacing w:line="560" w:lineRule="exact"/>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52"/>
          <w:szCs w:val="52"/>
        </w:rPr>
      </w:pPr>
      <w:r>
        <w:rPr>
          <w:rFonts w:hint="eastAsia" w:ascii="宋体" w:hAnsi="宋体"/>
          <w:sz w:val="52"/>
          <w:szCs w:val="52"/>
        </w:rPr>
        <w:t>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52"/>
          <w:szCs w:val="52"/>
        </w:rPr>
      </w:pPr>
      <w:r>
        <w:rPr>
          <w:rFonts w:hint="eastAsia" w:ascii="宋体" w:hAnsi="宋体"/>
          <w:sz w:val="52"/>
          <w:szCs w:val="52"/>
        </w:rPr>
        <w:t>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52"/>
          <w:szCs w:val="52"/>
        </w:rPr>
      </w:pPr>
      <w:r>
        <w:rPr>
          <w:rFonts w:hint="eastAsia" w:ascii="宋体" w:hAnsi="宋体"/>
          <w:sz w:val="52"/>
          <w:szCs w:val="52"/>
        </w:rPr>
        <w:t>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52"/>
          <w:szCs w:val="52"/>
        </w:rPr>
      </w:pPr>
      <w:r>
        <w:rPr>
          <w:rFonts w:hint="eastAsia" w:ascii="宋体" w:hAnsi="宋体"/>
          <w:sz w:val="52"/>
          <w:szCs w:val="52"/>
        </w:rPr>
        <w:t>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52"/>
          <w:szCs w:val="52"/>
        </w:rPr>
      </w:pPr>
      <w:r>
        <w:rPr>
          <w:rFonts w:hint="eastAsia" w:ascii="宋体" w:hAnsi="宋体"/>
          <w:sz w:val="52"/>
          <w:szCs w:val="52"/>
        </w:rPr>
        <w:t>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52"/>
          <w:szCs w:val="52"/>
        </w:rPr>
      </w:pPr>
      <w:r>
        <w:rPr>
          <w:rFonts w:hint="eastAsia" w:ascii="宋体" w:hAnsi="宋体"/>
          <w:sz w:val="52"/>
          <w:szCs w:val="52"/>
        </w:rPr>
        <w:t>件</w:t>
      </w:r>
    </w:p>
    <w:p>
      <w:pPr>
        <w:kinsoku/>
        <w:overflowPunct/>
        <w:topLinePunct w:val="0"/>
        <w:bidi w:val="0"/>
        <w:spacing w:line="560" w:lineRule="exact"/>
        <w:rPr>
          <w:rFonts w:ascii="宋体" w:hAnsi="宋体"/>
          <w:sz w:val="32"/>
          <w:szCs w:val="32"/>
        </w:rPr>
      </w:pPr>
    </w:p>
    <w:p>
      <w:pPr>
        <w:kinsoku/>
        <w:overflowPunct/>
        <w:topLinePunct w:val="0"/>
        <w:bidi w:val="0"/>
        <w:spacing w:line="560" w:lineRule="exact"/>
        <w:rPr>
          <w:rFonts w:hint="eastAsia" w:ascii="宋体" w:hAnsi="宋体"/>
          <w:sz w:val="32"/>
          <w:szCs w:val="32"/>
        </w:rPr>
      </w:pPr>
    </w:p>
    <w:p>
      <w:pPr>
        <w:kinsoku/>
        <w:overflowPunct/>
        <w:topLinePunct w:val="0"/>
        <w:bidi w:val="0"/>
        <w:spacing w:line="560" w:lineRule="exact"/>
        <w:ind w:firstLine="320" w:firstLineChars="100"/>
        <w:rPr>
          <w:rFonts w:ascii="宋体" w:hAnsi="宋体"/>
          <w:sz w:val="32"/>
          <w:szCs w:val="32"/>
          <w:u w:val="single"/>
        </w:rPr>
      </w:pPr>
      <w:r>
        <w:rPr>
          <w:rFonts w:hint="eastAsia" w:ascii="宋体" w:hAnsi="宋体"/>
          <w:sz w:val="32"/>
          <w:szCs w:val="32"/>
        </w:rPr>
        <w:t>响应人：</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（盖单位章）</w:t>
      </w:r>
    </w:p>
    <w:p>
      <w:pPr>
        <w:kinsoku/>
        <w:overflowPunct/>
        <w:topLinePunct w:val="0"/>
        <w:bidi w:val="0"/>
        <w:spacing w:line="560" w:lineRule="exact"/>
        <w:ind w:firstLine="320" w:firstLineChars="100"/>
        <w:rPr>
          <w:rFonts w:hint="eastAsia" w:ascii="宋体" w:hAnsi="宋体"/>
          <w:sz w:val="32"/>
          <w:szCs w:val="32"/>
        </w:rPr>
      </w:pPr>
    </w:p>
    <w:p>
      <w:pPr>
        <w:kinsoku/>
        <w:overflowPunct/>
        <w:topLinePunct w:val="0"/>
        <w:bidi w:val="0"/>
        <w:spacing w:line="560" w:lineRule="exact"/>
        <w:ind w:firstLine="320" w:firstLineChars="100"/>
        <w:rPr>
          <w:rFonts w:ascii="宋体" w:hAnsi="宋体"/>
          <w:sz w:val="32"/>
          <w:szCs w:val="32"/>
        </w:rPr>
      </w:pPr>
      <w:r>
        <w:rPr>
          <w:rFonts w:hint="eastAsia" w:ascii="宋体" w:hAnsi="宋体"/>
          <w:sz w:val="32"/>
          <w:szCs w:val="32"/>
        </w:rPr>
        <w:t>法定代表人或其授权委托代理人：</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w:t>
      </w:r>
      <w:r>
        <w:rPr>
          <w:rFonts w:ascii="宋体" w:hAnsi="宋体"/>
          <w:sz w:val="32"/>
          <w:szCs w:val="32"/>
        </w:rPr>
        <w:t>签字）</w:t>
      </w:r>
    </w:p>
    <w:p>
      <w:pPr>
        <w:kinsoku/>
        <w:overflowPunct/>
        <w:topLinePunct w:val="0"/>
        <w:bidi w:val="0"/>
        <w:spacing w:line="560" w:lineRule="exact"/>
        <w:jc w:val="center"/>
        <w:rPr>
          <w:rFonts w:ascii="宋体" w:hAnsi="宋体"/>
          <w:sz w:val="32"/>
          <w:szCs w:val="32"/>
        </w:rPr>
      </w:pPr>
    </w:p>
    <w:p>
      <w:pPr>
        <w:pStyle w:val="2"/>
      </w:pPr>
    </w:p>
    <w:p>
      <w:pPr>
        <w:kinsoku/>
        <w:overflowPunct/>
        <w:topLinePunct w:val="0"/>
        <w:bidi w:val="0"/>
        <w:spacing w:line="560" w:lineRule="exact"/>
        <w:jc w:val="center"/>
        <w:rPr>
          <w:rFonts w:ascii="宋体" w:hAnsi="宋体"/>
          <w:sz w:val="28"/>
          <w:szCs w:val="28"/>
        </w:rPr>
      </w:pPr>
      <w:r>
        <w:rPr>
          <w:rFonts w:hint="eastAsia" w:ascii="宋体" w:hAnsi="宋体"/>
          <w:sz w:val="32"/>
          <w:szCs w:val="32"/>
        </w:rPr>
        <w:t>日期：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widowControl/>
        <w:kinsoku/>
        <w:overflowPunct/>
        <w:topLinePunct w:val="0"/>
        <w:bidi w:val="0"/>
        <w:spacing w:line="560" w:lineRule="exact"/>
        <w:jc w:val="left"/>
        <w:rPr>
          <w:rFonts w:ascii="宋体" w:hAnsi="宋体"/>
          <w:kern w:val="0"/>
          <w:sz w:val="28"/>
        </w:rPr>
      </w:pPr>
      <w:bookmarkStart w:id="310" w:name="_Toc366754332"/>
      <w:bookmarkStart w:id="311" w:name="_Toc28527"/>
      <w:bookmarkStart w:id="312" w:name="_Toc363746230"/>
    </w:p>
    <w:p>
      <w:pPr>
        <w:pStyle w:val="24"/>
        <w:kinsoku/>
        <w:overflowPunct/>
        <w:topLinePunct w:val="0"/>
        <w:bidi w:val="0"/>
        <w:spacing w:line="560" w:lineRule="exact"/>
        <w:jc w:val="center"/>
        <w:rPr>
          <w:rFonts w:hint="eastAsia" w:ascii="宋体" w:hAnsi="宋体" w:eastAsia="宋体"/>
          <w:b/>
          <w:sz w:val="32"/>
          <w:szCs w:val="32"/>
        </w:rPr>
      </w:pPr>
    </w:p>
    <w:p>
      <w:pPr>
        <w:rPr>
          <w:rFonts w:hint="eastAsia" w:ascii="宋体" w:hAnsi="宋体" w:eastAsia="宋体"/>
          <w:b/>
          <w:sz w:val="32"/>
          <w:szCs w:val="32"/>
        </w:rPr>
      </w:pPr>
      <w:r>
        <w:rPr>
          <w:rFonts w:hint="eastAsia" w:ascii="宋体" w:hAnsi="宋体" w:eastAsia="宋体"/>
          <w:b/>
          <w:sz w:val="32"/>
          <w:szCs w:val="32"/>
        </w:rPr>
        <w:br w:type="page"/>
      </w:r>
    </w:p>
    <w:p>
      <w:pPr>
        <w:pStyle w:val="24"/>
        <w:kinsoku/>
        <w:overflowPunct/>
        <w:topLinePunct w:val="0"/>
        <w:bidi w:val="0"/>
        <w:spacing w:line="560" w:lineRule="exact"/>
        <w:jc w:val="center"/>
        <w:rPr>
          <w:rFonts w:ascii="宋体" w:hAnsi="宋体" w:eastAsia="宋体"/>
          <w:b/>
          <w:sz w:val="32"/>
          <w:szCs w:val="32"/>
        </w:rPr>
      </w:pPr>
      <w:r>
        <w:rPr>
          <w:rFonts w:hint="eastAsia" w:ascii="宋体" w:hAnsi="宋体" w:eastAsia="宋体"/>
          <w:b/>
          <w:sz w:val="32"/>
          <w:szCs w:val="32"/>
        </w:rPr>
        <w:t>目    录</w:t>
      </w:r>
      <w:bookmarkEnd w:id="310"/>
      <w:bookmarkEnd w:id="311"/>
      <w:bookmarkEnd w:id="312"/>
    </w:p>
    <w:p>
      <w:pPr>
        <w:kinsoku/>
        <w:overflowPunct/>
        <w:topLinePunct w:val="0"/>
        <w:bidi w:val="0"/>
        <w:spacing w:line="560" w:lineRule="exact"/>
        <w:rPr>
          <w:rFonts w:ascii="宋体" w:hAnsi="宋体"/>
        </w:rPr>
      </w:pPr>
    </w:p>
    <w:p>
      <w:pPr>
        <w:kinsoku/>
        <w:overflowPunct/>
        <w:topLinePunct w:val="0"/>
        <w:bidi w:val="0"/>
        <w:spacing w:line="560" w:lineRule="exact"/>
        <w:rPr>
          <w:rFonts w:ascii="宋体" w:hAnsi="宋体"/>
          <w:sz w:val="24"/>
          <w:szCs w:val="24"/>
        </w:rPr>
      </w:pPr>
      <w:r>
        <w:rPr>
          <w:rFonts w:hint="eastAsia" w:ascii="宋体" w:hAnsi="宋体"/>
          <w:sz w:val="24"/>
          <w:szCs w:val="24"/>
        </w:rPr>
        <w:t>一、谈判响应函…………………………………………………………（）</w:t>
      </w:r>
    </w:p>
    <w:p>
      <w:pPr>
        <w:kinsoku/>
        <w:overflowPunct/>
        <w:topLinePunct w:val="0"/>
        <w:bidi w:val="0"/>
        <w:spacing w:line="560" w:lineRule="exact"/>
        <w:rPr>
          <w:rFonts w:ascii="宋体" w:hAnsi="宋体"/>
          <w:sz w:val="24"/>
          <w:szCs w:val="24"/>
        </w:rPr>
      </w:pPr>
      <w:r>
        <w:rPr>
          <w:rFonts w:hint="eastAsia" w:ascii="宋体" w:hAnsi="宋体"/>
          <w:sz w:val="24"/>
          <w:szCs w:val="24"/>
        </w:rPr>
        <w:t>二、法定代表人证明书…………………………………………………（）</w:t>
      </w:r>
    </w:p>
    <w:p>
      <w:pPr>
        <w:kinsoku/>
        <w:overflowPunct/>
        <w:topLinePunct w:val="0"/>
        <w:bidi w:val="0"/>
        <w:spacing w:line="560" w:lineRule="exact"/>
        <w:rPr>
          <w:rFonts w:ascii="宋体" w:hAnsi="宋体"/>
          <w:sz w:val="24"/>
          <w:szCs w:val="24"/>
        </w:rPr>
      </w:pPr>
      <w:r>
        <w:rPr>
          <w:rFonts w:hint="eastAsia" w:ascii="宋体" w:hAnsi="宋体"/>
          <w:sz w:val="24"/>
          <w:szCs w:val="24"/>
        </w:rPr>
        <w:t>三、法定代表人授权委托书……………………………………………（）</w:t>
      </w:r>
    </w:p>
    <w:p>
      <w:pPr>
        <w:kinsoku/>
        <w:overflowPunct/>
        <w:topLinePunct w:val="0"/>
        <w:bidi w:val="0"/>
        <w:spacing w:line="560" w:lineRule="exact"/>
        <w:rPr>
          <w:rFonts w:ascii="宋体" w:hAnsi="宋体"/>
          <w:sz w:val="24"/>
          <w:szCs w:val="24"/>
        </w:rPr>
      </w:pPr>
      <w:r>
        <w:rPr>
          <w:rFonts w:hint="eastAsia" w:ascii="宋体" w:hAnsi="宋体"/>
          <w:sz w:val="24"/>
          <w:szCs w:val="24"/>
        </w:rPr>
        <w:t>四、</w:t>
      </w:r>
      <w:r>
        <w:rPr>
          <w:rFonts w:hint="eastAsia" w:ascii="宋体" w:hAnsi="宋体" w:cs="宋体"/>
          <w:sz w:val="24"/>
          <w:szCs w:val="24"/>
        </w:rPr>
        <w:t>报价一览表</w:t>
      </w:r>
      <w:r>
        <w:rPr>
          <w:rFonts w:hint="eastAsia" w:ascii="宋体" w:hAnsi="宋体"/>
          <w:sz w:val="24"/>
          <w:szCs w:val="24"/>
        </w:rPr>
        <w:t>…………………………………………………………（）</w:t>
      </w:r>
    </w:p>
    <w:p>
      <w:pPr>
        <w:kinsoku/>
        <w:overflowPunct/>
        <w:topLinePunct w:val="0"/>
        <w:bidi w:val="0"/>
        <w:spacing w:line="560" w:lineRule="exact"/>
        <w:rPr>
          <w:rFonts w:ascii="宋体" w:hAnsi="宋体"/>
          <w:sz w:val="24"/>
          <w:szCs w:val="24"/>
        </w:rPr>
      </w:pPr>
      <w:r>
        <w:rPr>
          <w:rFonts w:hint="eastAsia" w:ascii="宋体" w:hAnsi="宋体"/>
          <w:sz w:val="24"/>
          <w:szCs w:val="24"/>
        </w:rPr>
        <w:t>五、响应人基本情况表…………………………………………………（）</w:t>
      </w:r>
    </w:p>
    <w:p>
      <w:pPr>
        <w:kinsoku/>
        <w:overflowPunct/>
        <w:topLinePunct w:val="0"/>
        <w:bidi w:val="0"/>
        <w:spacing w:line="560" w:lineRule="exact"/>
        <w:rPr>
          <w:rFonts w:hint="eastAsia" w:ascii="宋体" w:hAnsi="宋体"/>
          <w:sz w:val="24"/>
          <w:szCs w:val="24"/>
        </w:rPr>
      </w:pPr>
      <w:r>
        <w:rPr>
          <w:rFonts w:hint="eastAsia" w:ascii="宋体" w:hAnsi="宋体"/>
          <w:sz w:val="24"/>
          <w:szCs w:val="24"/>
        </w:rPr>
        <w:t>六、近</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年经审计的财务报表…………………………………………（）</w:t>
      </w:r>
    </w:p>
    <w:p>
      <w:pPr>
        <w:kinsoku/>
        <w:overflowPunct/>
        <w:topLinePunct w:val="0"/>
        <w:bidi w:val="0"/>
        <w:spacing w:line="560" w:lineRule="exact"/>
        <w:rPr>
          <w:rFonts w:ascii="宋体" w:hAnsi="宋体"/>
          <w:sz w:val="24"/>
          <w:szCs w:val="24"/>
        </w:rPr>
      </w:pPr>
      <w:r>
        <w:rPr>
          <w:rFonts w:hint="eastAsia" w:ascii="宋体" w:hAnsi="宋体"/>
          <w:sz w:val="24"/>
          <w:szCs w:val="24"/>
        </w:rPr>
        <w:t>七、近</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年以来承担同类项目业绩一览表……………………………（）</w:t>
      </w:r>
    </w:p>
    <w:p>
      <w:pPr>
        <w:kinsoku/>
        <w:overflowPunct/>
        <w:topLinePunct w:val="0"/>
        <w:bidi w:val="0"/>
        <w:spacing w:line="560" w:lineRule="exact"/>
        <w:rPr>
          <w:rFonts w:ascii="宋体" w:hAnsi="宋体"/>
          <w:sz w:val="24"/>
          <w:szCs w:val="24"/>
        </w:rPr>
      </w:pPr>
      <w:r>
        <w:rPr>
          <w:rFonts w:hint="eastAsia" w:ascii="宋体" w:hAnsi="宋体"/>
          <w:sz w:val="24"/>
          <w:szCs w:val="24"/>
          <w:lang w:eastAsia="zh-CN"/>
        </w:rPr>
        <w:t>八</w:t>
      </w:r>
      <w:r>
        <w:rPr>
          <w:rFonts w:hint="eastAsia" w:ascii="宋体" w:hAnsi="宋体"/>
          <w:sz w:val="24"/>
          <w:szCs w:val="24"/>
        </w:rPr>
        <w:t>、</w:t>
      </w:r>
      <w:r>
        <w:rPr>
          <w:rFonts w:hint="eastAsia" w:ascii="宋体" w:hAnsi="宋体"/>
          <w:sz w:val="24"/>
          <w:szCs w:val="24"/>
          <w:lang w:val="en-US" w:eastAsia="zh-CN"/>
        </w:rPr>
        <w:t>设计</w:t>
      </w:r>
      <w:r>
        <w:rPr>
          <w:rFonts w:hint="eastAsia" w:ascii="宋体" w:hAnsi="宋体"/>
          <w:sz w:val="24"/>
          <w:szCs w:val="24"/>
        </w:rPr>
        <w:t>方案………………………………………………………（）</w:t>
      </w:r>
    </w:p>
    <w:p>
      <w:pPr>
        <w:kinsoku/>
        <w:overflowPunct/>
        <w:topLinePunct w:val="0"/>
        <w:bidi w:val="0"/>
        <w:spacing w:line="560" w:lineRule="exact"/>
        <w:rPr>
          <w:rFonts w:ascii="宋体" w:hAnsi="宋体"/>
          <w:sz w:val="24"/>
          <w:szCs w:val="24"/>
        </w:rPr>
      </w:pPr>
      <w:r>
        <w:rPr>
          <w:rFonts w:hint="eastAsia" w:ascii="宋体" w:hAnsi="宋体"/>
          <w:sz w:val="24"/>
          <w:szCs w:val="24"/>
          <w:lang w:eastAsia="zh-CN"/>
        </w:rPr>
        <w:t>九</w:t>
      </w:r>
      <w:r>
        <w:rPr>
          <w:rFonts w:hint="eastAsia" w:ascii="宋体" w:hAnsi="宋体"/>
          <w:sz w:val="24"/>
          <w:szCs w:val="24"/>
        </w:rPr>
        <w:t>、其他内容…………………………………………………………（）</w:t>
      </w:r>
    </w:p>
    <w:p>
      <w:pPr>
        <w:kinsoku/>
        <w:overflowPunct/>
        <w:topLinePunct w:val="0"/>
        <w:bidi w:val="0"/>
        <w:spacing w:line="560" w:lineRule="exact"/>
        <w:rPr>
          <w:rFonts w:ascii="宋体" w:hAnsi="宋体"/>
          <w:sz w:val="24"/>
          <w:szCs w:val="24"/>
        </w:rPr>
      </w:pPr>
    </w:p>
    <w:p>
      <w:pPr>
        <w:pStyle w:val="5"/>
        <w:kinsoku/>
        <w:overflowPunct/>
        <w:topLinePunct w:val="0"/>
        <w:bidi w:val="0"/>
        <w:spacing w:line="560" w:lineRule="exact"/>
        <w:jc w:val="center"/>
        <w:rPr>
          <w:rFonts w:hint="eastAsia" w:ascii="宋体" w:hAnsi="宋体" w:eastAsia="宋体" w:cs="宋体"/>
        </w:rPr>
      </w:pPr>
    </w:p>
    <w:p>
      <w:pPr>
        <w:pStyle w:val="5"/>
        <w:kinsoku/>
        <w:overflowPunct/>
        <w:topLinePunct w:val="0"/>
        <w:bidi w:val="0"/>
        <w:spacing w:line="560" w:lineRule="exact"/>
        <w:jc w:val="center"/>
        <w:rPr>
          <w:rFonts w:ascii="宋体" w:hAnsi="宋体" w:eastAsia="宋体" w:cs="宋体"/>
        </w:rPr>
      </w:pPr>
    </w:p>
    <w:p>
      <w:pPr>
        <w:pStyle w:val="7"/>
        <w:kinsoku/>
        <w:overflowPunct/>
        <w:topLinePunct w:val="0"/>
        <w:bidi w:val="0"/>
        <w:spacing w:line="560" w:lineRule="exact"/>
        <w:rPr>
          <w:sz w:val="28"/>
        </w:rPr>
      </w:pPr>
      <w:r>
        <w:br w:type="page"/>
      </w:r>
    </w:p>
    <w:p>
      <w:pPr>
        <w:pStyle w:val="5"/>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Cs w:val="28"/>
        </w:rPr>
      </w:pPr>
      <w:r>
        <w:rPr>
          <w:rFonts w:hint="eastAsia" w:ascii="宋体" w:hAnsi="宋体" w:eastAsia="宋体" w:cs="宋体"/>
          <w:szCs w:val="28"/>
        </w:rPr>
        <w:t>一、谈判响应函</w:t>
      </w:r>
      <w:bookmarkEnd w:id="307"/>
      <w:bookmarkEnd w:id="308"/>
      <w:bookmarkEnd w:id="309"/>
    </w:p>
    <w:p>
      <w:pPr>
        <w:pStyle w:val="11"/>
        <w:pageBreakBefore w:val="0"/>
        <w:widowControl w:val="0"/>
        <w:kinsoku/>
        <w:wordWrap/>
        <w:overflowPunct/>
        <w:topLinePunct w:val="0"/>
        <w:autoSpaceDE/>
        <w:autoSpaceDN/>
        <w:bidi w:val="0"/>
        <w:adjustRightInd/>
        <w:snapToGrid/>
        <w:spacing w:line="440" w:lineRule="exact"/>
        <w:ind w:firstLine="0"/>
        <w:textAlignment w:val="auto"/>
        <w:rPr>
          <w:rFonts w:ascii="宋体" w:hAnsi="宋体" w:cs="宋体"/>
          <w:sz w:val="24"/>
        </w:rPr>
      </w:pPr>
      <w:r>
        <w:rPr>
          <w:rFonts w:hint="eastAsia" w:ascii="宋体" w:hAnsi="宋体"/>
          <w:sz w:val="24"/>
          <w:u w:val="single"/>
        </w:rPr>
        <w:t xml:space="preserve">                        </w:t>
      </w:r>
      <w:r>
        <w:rPr>
          <w:rFonts w:hint="eastAsia" w:ascii="宋体" w:hAnsi="宋体" w:cs="宋体"/>
          <w:sz w:val="24"/>
        </w:rPr>
        <w:t>(采购人名称)：</w:t>
      </w:r>
    </w:p>
    <w:p>
      <w:pPr>
        <w:pStyle w:val="11"/>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rPr>
      </w:pPr>
      <w:r>
        <w:rPr>
          <w:rFonts w:hint="eastAsia" w:ascii="宋体" w:hAnsi="宋体" w:cs="宋体"/>
          <w:sz w:val="24"/>
        </w:rPr>
        <w:t xml:space="preserve">一、我方全面研究了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（项目名称） </w:t>
      </w:r>
      <w:r>
        <w:rPr>
          <w:rFonts w:hint="eastAsia" w:ascii="宋体" w:hAnsi="宋体" w:cs="宋体"/>
          <w:sz w:val="24"/>
        </w:rPr>
        <w:t>项目竞争性谈判文件，决定参加采购人组织的本项目谈判。我方授权</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(姓名、职务)代表我方</w:t>
      </w:r>
      <w:r>
        <w:rPr>
          <w:rFonts w:hint="eastAsia" w:ascii="宋体" w:hAnsi="宋体" w:cs="宋体"/>
          <w:sz w:val="24"/>
          <w:u w:val="single"/>
        </w:rPr>
        <w:t xml:space="preserve">                        </w:t>
      </w:r>
      <w:r>
        <w:rPr>
          <w:rFonts w:hint="eastAsia" w:ascii="宋体" w:hAnsi="宋体" w:cs="宋体"/>
          <w:sz w:val="24"/>
        </w:rPr>
        <w:t xml:space="preserve"> (响应人名称)全权处理本项目谈判的有关事宜。</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二、我方自愿按照竞争性谈判文件规定的各项要求完成本项目全部工作，报价为人民币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三、一旦我方成交，我方将严格履行合同规定的责任和义务，保证于合同签字生效后在</w:t>
      </w:r>
      <w:r>
        <w:rPr>
          <w:rFonts w:hint="eastAsia" w:ascii="宋体" w:hAnsi="宋体" w:cs="宋体"/>
          <w:b/>
          <w:sz w:val="24"/>
          <w:u w:val="single"/>
        </w:rPr>
        <w:t>采购人要求的时间内</w:t>
      </w:r>
      <w:r>
        <w:rPr>
          <w:rFonts w:hint="eastAsia" w:ascii="宋体" w:hAnsi="宋体" w:cs="宋体"/>
          <w:sz w:val="24"/>
        </w:rPr>
        <w:t>完成本项目全部工作。</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四、我方为本项目提交的响应文件正本1份，副本</w:t>
      </w:r>
      <w:r>
        <w:rPr>
          <w:rFonts w:hint="eastAsia" w:ascii="宋体" w:hAnsi="宋体" w:cs="宋体"/>
          <w:sz w:val="24"/>
          <w:u w:val="single"/>
        </w:rPr>
        <w:t xml:space="preserve">   </w:t>
      </w:r>
      <w:r>
        <w:rPr>
          <w:rFonts w:hint="eastAsia" w:ascii="宋体" w:hAnsi="宋体" w:cs="宋体"/>
          <w:sz w:val="24"/>
        </w:rPr>
        <w:t>份，电子文档</w:t>
      </w:r>
      <w:r>
        <w:rPr>
          <w:rFonts w:ascii="宋体" w:hAnsi="宋体" w:cs="宋体"/>
          <w:sz w:val="24"/>
        </w:rPr>
        <w:t>1</w:t>
      </w:r>
      <w:r>
        <w:rPr>
          <w:rFonts w:hint="eastAsia" w:ascii="宋体" w:hAnsi="宋体" w:cs="宋体"/>
          <w:sz w:val="24"/>
        </w:rPr>
        <w:t>份。</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u w:val="single"/>
        </w:rPr>
      </w:pPr>
      <w:r>
        <w:rPr>
          <w:rFonts w:hint="eastAsia" w:ascii="宋体" w:hAnsi="宋体" w:cs="宋体"/>
          <w:sz w:val="24"/>
        </w:rPr>
        <w:t>五、我方承诺，谈判有效期为谈判截止时间后</w:t>
      </w:r>
      <w:r>
        <w:rPr>
          <w:rFonts w:hint="eastAsia" w:ascii="宋体" w:hAnsi="宋体" w:cs="宋体"/>
          <w:sz w:val="24"/>
          <w:u w:val="single"/>
        </w:rPr>
        <w:t xml:space="preserve">   </w:t>
      </w:r>
      <w:r>
        <w:rPr>
          <w:rFonts w:hint="eastAsia" w:ascii="宋体" w:hAnsi="宋体" w:cs="宋体"/>
          <w:sz w:val="24"/>
        </w:rPr>
        <w:t>个日历天内。</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六、我方愿意提供采购人可能另外要求的，与谈判有关的文件资料，并保证我方已提供和将要提供的文件资料是真实、准确的。</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七、我方知道并同意：如果接到成交通知书后未按采购人要求的时间签订正式合同或坚持提出附加条件，采购人有权选择其他响应人为成交人。</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八、我方知道并同意，采购人并无义务必须接受所收到的价格最低的或其他任何响应文件。同时也理解，采购人不负担响应人任何参与谈判的费用。</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九、我方郑重承诺：按采购人要求做好后期服务。</w:t>
      </w:r>
    </w:p>
    <w:p>
      <w:pPr>
        <w:pStyle w:val="11"/>
        <w:pageBreakBefore w:val="0"/>
        <w:widowControl w:val="0"/>
        <w:kinsoku/>
        <w:wordWrap/>
        <w:overflowPunct/>
        <w:topLinePunct w:val="0"/>
        <w:autoSpaceDE/>
        <w:autoSpaceDN/>
        <w:bidi w:val="0"/>
        <w:adjustRightInd/>
        <w:snapToGrid/>
        <w:spacing w:line="440" w:lineRule="exact"/>
        <w:ind w:firstLine="0"/>
        <w:textAlignment w:val="auto"/>
        <w:rPr>
          <w:rFonts w:ascii="宋体" w:hAnsi="宋体" w:cs="宋体"/>
          <w:sz w:val="24"/>
        </w:rPr>
      </w:pP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响应人名称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(盖章)</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(签字)   </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通讯地址：</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邮政编码：</w:t>
      </w:r>
      <w:r>
        <w:rPr>
          <w:rFonts w:ascii="宋体" w:hAnsi="宋体" w:cs="宋体"/>
          <w:sz w:val="24"/>
          <w:u w:val="single"/>
        </w:rPr>
        <w:t xml:space="preserve">                            </w:t>
      </w:r>
      <w:r>
        <w:rPr>
          <w:rFonts w:hint="eastAsia" w:ascii="宋体" w:hAnsi="宋体" w:cs="宋体"/>
          <w:sz w:val="24"/>
          <w:u w:val="single"/>
        </w:rPr>
        <w:t xml:space="preserve">  </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r>
        <w:rPr>
          <w:rFonts w:hint="eastAsia" w:ascii="宋体" w:hAnsi="宋体" w:cs="宋体"/>
          <w:sz w:val="24"/>
          <w:u w:val="single"/>
        </w:rPr>
        <w:t xml:space="preserve">  </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传    真：</w:t>
      </w:r>
      <w:r>
        <w:rPr>
          <w:rFonts w:ascii="宋体" w:hAnsi="宋体" w:cs="宋体"/>
          <w:sz w:val="24"/>
          <w:u w:val="single"/>
        </w:rPr>
        <w:t xml:space="preserve">                            </w:t>
      </w:r>
      <w:r>
        <w:rPr>
          <w:rFonts w:hint="eastAsia" w:ascii="宋体" w:hAnsi="宋体" w:cs="宋体"/>
          <w:sz w:val="24"/>
          <w:u w:val="single"/>
        </w:rPr>
        <w:t xml:space="preserve">  </w:t>
      </w:r>
    </w:p>
    <w:p>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cs="宋体"/>
          <w:sz w:val="24"/>
        </w:rPr>
        <w:br w:type="page"/>
      </w:r>
    </w:p>
    <w:p>
      <w:pPr>
        <w:pStyle w:val="5"/>
        <w:kinsoku/>
        <w:overflowPunct/>
        <w:topLinePunct w:val="0"/>
        <w:bidi w:val="0"/>
        <w:spacing w:line="560" w:lineRule="exact"/>
        <w:jc w:val="center"/>
        <w:rPr>
          <w:rFonts w:ascii="宋体" w:hAnsi="宋体" w:eastAsia="宋体" w:cs="宋体"/>
          <w:szCs w:val="28"/>
        </w:rPr>
      </w:pPr>
      <w:bookmarkStart w:id="313" w:name="_Toc217446085"/>
      <w:bookmarkStart w:id="314" w:name="_Toc317509430"/>
      <w:bookmarkStart w:id="315" w:name="_Toc325464859"/>
      <w:r>
        <w:rPr>
          <w:rFonts w:hint="eastAsia" w:ascii="宋体" w:hAnsi="宋体" w:eastAsia="宋体" w:cs="宋体"/>
          <w:szCs w:val="28"/>
        </w:rPr>
        <w:t>二、法定代表人证明书</w:t>
      </w:r>
    </w:p>
    <w:p>
      <w:pPr>
        <w:kinsoku/>
        <w:overflowPunct/>
        <w:topLinePunct w:val="0"/>
        <w:bidi w:val="0"/>
        <w:spacing w:line="560" w:lineRule="exact"/>
        <w:ind w:firstLine="480" w:firstLineChars="200"/>
        <w:jc w:val="left"/>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kinsoku/>
        <w:overflowPunct/>
        <w:topLinePunct w:val="0"/>
        <w:bidi w:val="0"/>
        <w:spacing w:line="560" w:lineRule="exact"/>
        <w:ind w:firstLine="480" w:firstLineChars="200"/>
        <w:jc w:val="left"/>
        <w:rPr>
          <w:rFonts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p>
    <w:p>
      <w:pPr>
        <w:kinsoku/>
        <w:overflowPunct/>
        <w:topLinePunct w:val="0"/>
        <w:bidi w:val="0"/>
        <w:spacing w:line="560" w:lineRule="exact"/>
        <w:ind w:firstLine="480" w:firstLineChars="200"/>
        <w:jc w:val="left"/>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pPr>
        <w:kinsoku/>
        <w:overflowPunct/>
        <w:topLinePunct w:val="0"/>
        <w:bidi w:val="0"/>
        <w:spacing w:line="560" w:lineRule="exact"/>
        <w:ind w:firstLine="480" w:firstLineChars="200"/>
        <w:jc w:val="left"/>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p>
    <w:p>
      <w:pPr>
        <w:kinsoku/>
        <w:overflowPunct/>
        <w:topLinePunct w:val="0"/>
        <w:bidi w:val="0"/>
        <w:spacing w:line="560" w:lineRule="exact"/>
        <w:ind w:firstLine="480" w:firstLineChars="200"/>
        <w:jc w:val="left"/>
        <w:rPr>
          <w:rFonts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p>
    <w:p>
      <w:pPr>
        <w:kinsoku/>
        <w:overflowPunct/>
        <w:topLinePunct w:val="0"/>
        <w:bidi w:val="0"/>
        <w:spacing w:line="560" w:lineRule="exact"/>
        <w:ind w:firstLine="480" w:firstLineChars="200"/>
        <w:jc w:val="left"/>
        <w:rPr>
          <w:rFonts w:ascii="宋体" w:hAnsi="宋体"/>
          <w:sz w:val="24"/>
          <w:szCs w:val="24"/>
        </w:rPr>
      </w:pPr>
      <w:r>
        <w:rPr>
          <w:rFonts w:hint="eastAsia" w:ascii="宋体" w:hAnsi="宋体"/>
          <w:sz w:val="24"/>
          <w:szCs w:val="24"/>
        </w:rPr>
        <w:t>姓    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kinsoku/>
        <w:overflowPunct/>
        <w:topLinePunct w:val="0"/>
        <w:bidi w:val="0"/>
        <w:spacing w:line="560" w:lineRule="exact"/>
        <w:ind w:firstLine="480" w:firstLineChars="200"/>
        <w:jc w:val="left"/>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lang w:eastAsia="zh-CN"/>
        </w:rPr>
        <w:t>（</w:t>
      </w:r>
      <w:r>
        <w:rPr>
          <w:rFonts w:hint="eastAsia" w:ascii="宋体" w:hAnsi="宋体"/>
          <w:sz w:val="24"/>
          <w:szCs w:val="24"/>
          <w:u w:val="single"/>
        </w:rPr>
        <w:t>响应人全称）</w:t>
      </w:r>
      <w:r>
        <w:rPr>
          <w:rFonts w:hint="eastAsia" w:ascii="宋体" w:hAnsi="宋体"/>
          <w:sz w:val="24"/>
          <w:szCs w:val="24"/>
        </w:rPr>
        <w:t>的法定代表人。</w:t>
      </w:r>
    </w:p>
    <w:p>
      <w:pPr>
        <w:kinsoku/>
        <w:overflowPunct/>
        <w:topLinePunct w:val="0"/>
        <w:bidi w:val="0"/>
        <w:spacing w:line="560" w:lineRule="exact"/>
        <w:ind w:firstLine="480" w:firstLineChars="200"/>
        <w:jc w:val="left"/>
        <w:rPr>
          <w:rFonts w:ascii="宋体" w:hAnsi="宋体"/>
          <w:sz w:val="24"/>
          <w:szCs w:val="24"/>
        </w:rPr>
      </w:pPr>
      <w:r>
        <w:rPr>
          <w:rFonts w:hint="eastAsia" w:ascii="宋体" w:hAnsi="宋体"/>
          <w:sz w:val="24"/>
          <w:szCs w:val="24"/>
        </w:rPr>
        <w:t>特此证明。</w:t>
      </w:r>
    </w:p>
    <w:p>
      <w:pPr>
        <w:kinsoku/>
        <w:overflowPunct/>
        <w:topLinePunct w:val="0"/>
        <w:bidi w:val="0"/>
        <w:spacing w:line="560" w:lineRule="exact"/>
        <w:jc w:val="left"/>
        <w:rPr>
          <w:rFonts w:ascii="宋体" w:hAnsi="宋体"/>
          <w:sz w:val="24"/>
          <w:szCs w:val="24"/>
        </w:rPr>
      </w:pPr>
    </w:p>
    <w:p>
      <w:pPr>
        <w:kinsoku/>
        <w:overflowPunct/>
        <w:topLinePunct w:val="0"/>
        <w:bidi w:val="0"/>
        <w:spacing w:line="560" w:lineRule="exact"/>
        <w:jc w:val="left"/>
        <w:rPr>
          <w:rFonts w:ascii="宋体" w:hAnsi="宋体"/>
          <w:sz w:val="24"/>
          <w:szCs w:val="24"/>
        </w:rPr>
      </w:pPr>
    </w:p>
    <w:p>
      <w:pPr>
        <w:kinsoku/>
        <w:overflowPunct/>
        <w:topLinePunct w:val="0"/>
        <w:bidi w:val="0"/>
        <w:spacing w:line="560" w:lineRule="exact"/>
        <w:jc w:val="left"/>
        <w:rPr>
          <w:rFonts w:ascii="宋体" w:hAnsi="宋体"/>
          <w:sz w:val="24"/>
          <w:szCs w:val="24"/>
        </w:rPr>
      </w:pPr>
    </w:p>
    <w:p>
      <w:pPr>
        <w:kinsoku/>
        <w:overflowPunct/>
        <w:topLinePunct w:val="0"/>
        <w:bidi w:val="0"/>
        <w:spacing w:line="560" w:lineRule="exact"/>
        <w:jc w:val="left"/>
        <w:rPr>
          <w:rFonts w:ascii="宋体" w:hAnsi="宋体"/>
          <w:sz w:val="24"/>
          <w:szCs w:val="24"/>
        </w:rPr>
      </w:pPr>
    </w:p>
    <w:p>
      <w:pPr>
        <w:kinsoku/>
        <w:overflowPunct/>
        <w:topLinePunct w:val="0"/>
        <w:bidi w:val="0"/>
        <w:spacing w:line="560" w:lineRule="exact"/>
        <w:ind w:firstLine="3360" w:firstLineChars="1400"/>
        <w:jc w:val="left"/>
        <w:rPr>
          <w:rFonts w:ascii="宋体" w:hAnsi="宋体"/>
          <w:sz w:val="24"/>
          <w:szCs w:val="24"/>
        </w:rPr>
      </w:pPr>
      <w:r>
        <w:rPr>
          <w:rFonts w:hint="eastAsia" w:ascii="宋体" w:hAnsi="宋体"/>
          <w:sz w:val="24"/>
          <w:szCs w:val="24"/>
        </w:rPr>
        <w:t>响应人：</w:t>
      </w:r>
      <w:r>
        <w:rPr>
          <w:rFonts w:hint="eastAsia" w:ascii="宋体" w:hAnsi="宋体"/>
          <w:sz w:val="24"/>
          <w:szCs w:val="24"/>
          <w:u w:val="single"/>
        </w:rPr>
        <w:t xml:space="preserve">            </w:t>
      </w:r>
      <w:r>
        <w:rPr>
          <w:rFonts w:hint="eastAsia" w:ascii="宋体" w:hAnsi="宋体"/>
          <w:sz w:val="24"/>
          <w:szCs w:val="24"/>
        </w:rPr>
        <w:t>（盖章）</w:t>
      </w:r>
    </w:p>
    <w:p>
      <w:pPr>
        <w:kinsoku/>
        <w:overflowPunct/>
        <w:topLinePunct w:val="0"/>
        <w:bidi w:val="0"/>
        <w:spacing w:line="560" w:lineRule="exact"/>
        <w:ind w:firstLine="3360" w:firstLineChars="1400"/>
        <w:jc w:val="lef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kinsoku/>
        <w:overflowPunct/>
        <w:topLinePunct w:val="0"/>
        <w:bidi w:val="0"/>
        <w:spacing w:line="560" w:lineRule="exact"/>
        <w:jc w:val="left"/>
        <w:rPr>
          <w:rFonts w:ascii="宋体" w:hAnsi="宋体"/>
          <w:sz w:val="28"/>
          <w:szCs w:val="28"/>
        </w:rPr>
      </w:pPr>
    </w:p>
    <w:p>
      <w:pPr>
        <w:kinsoku/>
        <w:overflowPunct/>
        <w:topLinePunct w:val="0"/>
        <w:bidi w:val="0"/>
        <w:spacing w:line="560" w:lineRule="exact"/>
        <w:jc w:val="left"/>
        <w:rPr>
          <w:rFonts w:ascii="宋体" w:hAnsi="宋体"/>
          <w:sz w:val="18"/>
          <w:szCs w:val="18"/>
        </w:rPr>
      </w:pPr>
      <w:r>
        <w:rPr>
          <w:rFonts w:hint="eastAsia" w:ascii="宋体" w:hAnsi="宋体"/>
          <w:sz w:val="18"/>
          <w:szCs w:val="18"/>
        </w:rPr>
        <w:t>注：附法定代表人的身份证复印件并加盖单位公章。</w:t>
      </w:r>
      <w:r>
        <w:rPr>
          <w:rFonts w:ascii="宋体" w:hAnsi="宋体"/>
          <w:sz w:val="18"/>
          <w:szCs w:val="18"/>
        </w:rPr>
        <w:br w:type="page"/>
      </w:r>
    </w:p>
    <w:p>
      <w:pPr>
        <w:pStyle w:val="5"/>
        <w:kinsoku/>
        <w:overflowPunct/>
        <w:topLinePunct w:val="0"/>
        <w:bidi w:val="0"/>
        <w:spacing w:line="560" w:lineRule="exact"/>
        <w:jc w:val="center"/>
        <w:rPr>
          <w:rFonts w:ascii="宋体" w:hAnsi="宋体" w:eastAsia="宋体" w:cs="宋体"/>
          <w:szCs w:val="28"/>
        </w:rPr>
      </w:pPr>
      <w:r>
        <w:rPr>
          <w:rFonts w:hint="eastAsia" w:ascii="宋体" w:hAnsi="宋体" w:eastAsia="宋体" w:cs="宋体"/>
          <w:szCs w:val="28"/>
        </w:rPr>
        <w:t>三、法定代表人授权委托书</w:t>
      </w:r>
    </w:p>
    <w:p>
      <w:pPr>
        <w:kinsoku/>
        <w:overflowPunct/>
        <w:topLinePunct w:val="0"/>
        <w:bidi w:val="0"/>
        <w:spacing w:line="560" w:lineRule="exact"/>
        <w:jc w:val="left"/>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 xml:space="preserve">（采购人名称）：   </w:t>
      </w:r>
    </w:p>
    <w:p>
      <w:pPr>
        <w:kinsoku/>
        <w:overflowPunct/>
        <w:topLinePunct w:val="0"/>
        <w:bidi w:val="0"/>
        <w:spacing w:line="560" w:lineRule="exact"/>
        <w:ind w:firstLine="480" w:firstLineChars="200"/>
        <w:jc w:val="left"/>
        <w:rPr>
          <w:rFonts w:ascii="宋体" w:hAnsi="宋体"/>
          <w:sz w:val="24"/>
          <w:szCs w:val="24"/>
        </w:rPr>
      </w:pPr>
      <w:r>
        <w:rPr>
          <w:rFonts w:hint="eastAsia" w:ascii="宋体" w:hAnsi="宋体"/>
          <w:sz w:val="24"/>
          <w:szCs w:val="24"/>
        </w:rPr>
        <w:t>本人</w:t>
      </w:r>
      <w:r>
        <w:rPr>
          <w:rFonts w:hint="eastAsia" w:ascii="宋体" w:hAnsi="宋体"/>
          <w:sz w:val="24"/>
          <w:szCs w:val="24"/>
          <w:u w:val="single"/>
        </w:rPr>
        <w:t xml:space="preserve">  （姓名） </w:t>
      </w:r>
      <w:r>
        <w:rPr>
          <w:rFonts w:hint="eastAsia" w:ascii="宋体" w:hAnsi="宋体"/>
          <w:sz w:val="24"/>
          <w:szCs w:val="24"/>
        </w:rPr>
        <w:t>系</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（响应人全称）</w:t>
      </w:r>
      <w:r>
        <w:rPr>
          <w:rFonts w:hint="eastAsia" w:ascii="宋体" w:hAnsi="宋体"/>
          <w:sz w:val="24"/>
          <w:szCs w:val="24"/>
        </w:rPr>
        <w:t>的法定代表人，现授权委托</w:t>
      </w:r>
      <w:r>
        <w:rPr>
          <w:rFonts w:hint="eastAsia" w:ascii="宋体" w:hAnsi="宋体"/>
          <w:sz w:val="24"/>
          <w:szCs w:val="24"/>
          <w:u w:val="single"/>
        </w:rPr>
        <w:t xml:space="preserve">  （被委托人姓名、职务）</w:t>
      </w:r>
      <w:r>
        <w:rPr>
          <w:rFonts w:hint="eastAsia" w:ascii="宋体" w:hAnsi="宋体"/>
          <w:sz w:val="24"/>
          <w:szCs w:val="24"/>
        </w:rPr>
        <w:t>为我公司代理人，以本公司的名义参加</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（项目名称） </w:t>
      </w:r>
      <w:r>
        <w:rPr>
          <w:rFonts w:hint="eastAsia" w:ascii="宋体" w:hAnsi="宋体"/>
          <w:sz w:val="24"/>
          <w:szCs w:val="24"/>
        </w:rPr>
        <w:t>竞争性谈判活动。代理人在竞争性谈判活动过程中所签署的一切文件和处理与之有关的一切事务，均为代表本公司的行为，与本人的行为具有同等法律效力。本公司将承担代理人行为的一切法律责任和后果。</w:t>
      </w:r>
    </w:p>
    <w:p>
      <w:pPr>
        <w:kinsoku/>
        <w:overflowPunct/>
        <w:topLinePunct w:val="0"/>
        <w:bidi w:val="0"/>
        <w:spacing w:line="560" w:lineRule="exact"/>
        <w:ind w:firstLine="480" w:firstLineChars="200"/>
        <w:jc w:val="left"/>
        <w:rPr>
          <w:rFonts w:hint="eastAsia" w:ascii="宋体" w:hAnsi="宋体"/>
          <w:sz w:val="24"/>
          <w:szCs w:val="24"/>
        </w:rPr>
      </w:pPr>
      <w:r>
        <w:rPr>
          <w:rFonts w:hint="eastAsia" w:ascii="宋体" w:hAnsi="宋体"/>
          <w:sz w:val="24"/>
          <w:szCs w:val="24"/>
        </w:rPr>
        <w:t>委托期限：自本授权委托书签署之日起至第二章“谈判须知”前附表</w:t>
      </w:r>
      <w:r>
        <w:rPr>
          <w:rFonts w:ascii="宋体" w:hAnsi="宋体"/>
          <w:sz w:val="24"/>
          <w:szCs w:val="24"/>
        </w:rPr>
        <w:t>12条</w:t>
      </w:r>
      <w:r>
        <w:rPr>
          <w:rFonts w:hint="eastAsia" w:ascii="宋体" w:hAnsi="宋体"/>
          <w:sz w:val="24"/>
          <w:szCs w:val="24"/>
        </w:rPr>
        <w:t>规定的“谈判有效期”结束为止。</w:t>
      </w:r>
    </w:p>
    <w:p>
      <w:pPr>
        <w:kinsoku/>
        <w:overflowPunct/>
        <w:topLinePunct w:val="0"/>
        <w:bidi w:val="0"/>
        <w:spacing w:line="560" w:lineRule="exact"/>
        <w:ind w:firstLine="480" w:firstLineChars="200"/>
        <w:jc w:val="left"/>
        <w:rPr>
          <w:rFonts w:ascii="宋体" w:hAnsi="宋体"/>
          <w:sz w:val="24"/>
          <w:szCs w:val="24"/>
        </w:rPr>
      </w:pPr>
      <w:r>
        <w:rPr>
          <w:rFonts w:hint="eastAsia" w:ascii="宋体" w:hAnsi="宋体"/>
          <w:sz w:val="24"/>
          <w:szCs w:val="24"/>
        </w:rPr>
        <w:t>代理人无转委托权，特此委托。</w:t>
      </w:r>
    </w:p>
    <w:p>
      <w:pPr>
        <w:kinsoku/>
        <w:overflowPunct/>
        <w:topLinePunct w:val="0"/>
        <w:bidi w:val="0"/>
        <w:spacing w:line="560" w:lineRule="exact"/>
        <w:jc w:val="left"/>
        <w:rPr>
          <w:rFonts w:ascii="宋体" w:hAnsi="宋体"/>
          <w:sz w:val="24"/>
          <w:szCs w:val="24"/>
        </w:rPr>
      </w:pPr>
    </w:p>
    <w:p>
      <w:pPr>
        <w:kinsoku/>
        <w:overflowPunct/>
        <w:topLinePunct w:val="0"/>
        <w:bidi w:val="0"/>
        <w:spacing w:line="560" w:lineRule="exact"/>
        <w:ind w:firstLine="1440" w:firstLineChars="600"/>
        <w:jc w:val="left"/>
        <w:rPr>
          <w:rFonts w:ascii="宋体" w:hAnsi="宋体"/>
          <w:sz w:val="24"/>
          <w:szCs w:val="24"/>
        </w:rPr>
      </w:pPr>
      <w:r>
        <w:rPr>
          <w:rFonts w:hint="eastAsia" w:ascii="宋体" w:hAnsi="宋体"/>
          <w:sz w:val="24"/>
          <w:szCs w:val="24"/>
        </w:rPr>
        <w:t>委托代理人：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（签字）</w:t>
      </w:r>
    </w:p>
    <w:p>
      <w:pPr>
        <w:kinsoku/>
        <w:overflowPunct/>
        <w:topLinePunct w:val="0"/>
        <w:bidi w:val="0"/>
        <w:spacing w:line="560" w:lineRule="exact"/>
        <w:ind w:firstLine="1440" w:firstLineChars="600"/>
        <w:jc w:val="left"/>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pPr>
        <w:kinsoku/>
        <w:overflowPunct/>
        <w:topLinePunct w:val="0"/>
        <w:bidi w:val="0"/>
        <w:spacing w:line="560" w:lineRule="exact"/>
        <w:ind w:firstLine="1440" w:firstLineChars="600"/>
        <w:jc w:val="left"/>
        <w:rPr>
          <w:rFonts w:ascii="宋体" w:hAnsi="宋体"/>
          <w:sz w:val="24"/>
          <w:szCs w:val="24"/>
        </w:rPr>
      </w:pPr>
      <w:r>
        <w:rPr>
          <w:rFonts w:hint="eastAsia" w:ascii="宋体" w:hAnsi="宋体"/>
          <w:sz w:val="24"/>
          <w:szCs w:val="24"/>
        </w:rPr>
        <w:t>响应人：</w:t>
      </w:r>
      <w:r>
        <w:rPr>
          <w:rFonts w:hint="eastAsia" w:ascii="宋体" w:hAnsi="宋体"/>
          <w:sz w:val="24"/>
          <w:szCs w:val="24"/>
          <w:u w:val="single"/>
        </w:rPr>
        <w:t xml:space="preserve">                               </w:t>
      </w:r>
      <w:r>
        <w:rPr>
          <w:rFonts w:hint="eastAsia" w:ascii="宋体" w:hAnsi="宋体"/>
          <w:sz w:val="24"/>
          <w:szCs w:val="24"/>
        </w:rPr>
        <w:t>（盖章）</w:t>
      </w:r>
    </w:p>
    <w:p>
      <w:pPr>
        <w:kinsoku/>
        <w:overflowPunct/>
        <w:topLinePunct w:val="0"/>
        <w:bidi w:val="0"/>
        <w:spacing w:line="560" w:lineRule="exact"/>
        <w:ind w:firstLine="1440" w:firstLineChars="600"/>
        <w:jc w:val="left"/>
        <w:rPr>
          <w:rFonts w:ascii="宋体" w:hAnsi="宋体"/>
          <w:sz w:val="24"/>
          <w:szCs w:val="24"/>
          <w:u w:val="single"/>
        </w:rPr>
      </w:pPr>
      <w:r>
        <w:rPr>
          <w:rFonts w:hint="eastAsia" w:ascii="宋体" w:hAnsi="宋体"/>
          <w:sz w:val="24"/>
          <w:szCs w:val="24"/>
        </w:rPr>
        <w:t>法定代表人：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（签字或盖章）</w:t>
      </w:r>
    </w:p>
    <w:p>
      <w:pPr>
        <w:kinsoku/>
        <w:overflowPunct/>
        <w:topLinePunct w:val="0"/>
        <w:bidi w:val="0"/>
        <w:spacing w:line="560" w:lineRule="exact"/>
        <w:ind w:firstLine="1440" w:firstLineChars="600"/>
        <w:jc w:val="left"/>
        <w:rPr>
          <w:rFonts w:ascii="宋体" w:hAnsi="宋体"/>
          <w:sz w:val="24"/>
          <w:szCs w:val="24"/>
        </w:rPr>
      </w:pPr>
      <w:r>
        <w:rPr>
          <w:rFonts w:hint="eastAsia" w:ascii="宋体" w:hAnsi="宋体"/>
          <w:sz w:val="24"/>
          <w:szCs w:val="24"/>
        </w:rPr>
        <w:t>授权委托日期：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kinsoku/>
        <w:overflowPunct/>
        <w:topLinePunct w:val="0"/>
        <w:bidi w:val="0"/>
        <w:spacing w:line="560" w:lineRule="exact"/>
        <w:jc w:val="left"/>
        <w:rPr>
          <w:rFonts w:ascii="宋体" w:hAnsi="宋体"/>
          <w:sz w:val="24"/>
          <w:szCs w:val="24"/>
        </w:rPr>
      </w:pPr>
    </w:p>
    <w:p>
      <w:pPr>
        <w:kinsoku/>
        <w:overflowPunct/>
        <w:topLinePunct w:val="0"/>
        <w:bidi w:val="0"/>
        <w:spacing w:line="560" w:lineRule="exact"/>
        <w:jc w:val="left"/>
        <w:rPr>
          <w:rFonts w:ascii="宋体" w:hAnsi="宋体"/>
          <w:sz w:val="24"/>
          <w:szCs w:val="24"/>
        </w:rPr>
      </w:pPr>
    </w:p>
    <w:p>
      <w:pPr>
        <w:kinsoku/>
        <w:overflowPunct/>
        <w:topLinePunct w:val="0"/>
        <w:bidi w:val="0"/>
        <w:spacing w:line="560" w:lineRule="exact"/>
        <w:jc w:val="left"/>
        <w:rPr>
          <w:rFonts w:hint="eastAsia" w:ascii="宋体" w:hAnsi="宋体"/>
          <w:sz w:val="24"/>
          <w:szCs w:val="24"/>
        </w:rPr>
      </w:pPr>
    </w:p>
    <w:p>
      <w:pPr>
        <w:kinsoku/>
        <w:overflowPunct/>
        <w:topLinePunct w:val="0"/>
        <w:bidi w:val="0"/>
        <w:spacing w:line="560" w:lineRule="exact"/>
        <w:jc w:val="left"/>
        <w:rPr>
          <w:rFonts w:ascii="宋体" w:hAnsi="宋体"/>
          <w:sz w:val="24"/>
          <w:szCs w:val="24"/>
        </w:rPr>
      </w:pPr>
    </w:p>
    <w:p>
      <w:pPr>
        <w:kinsoku/>
        <w:overflowPunct/>
        <w:topLinePunct w:val="0"/>
        <w:bidi w:val="0"/>
        <w:spacing w:line="560" w:lineRule="exact"/>
        <w:jc w:val="left"/>
        <w:rPr>
          <w:rFonts w:ascii="宋体" w:hAnsi="宋体"/>
          <w:sz w:val="18"/>
          <w:szCs w:val="18"/>
        </w:rPr>
      </w:pPr>
      <w:r>
        <w:rPr>
          <w:rFonts w:hint="eastAsia" w:ascii="宋体" w:hAnsi="宋体"/>
          <w:sz w:val="18"/>
          <w:szCs w:val="18"/>
        </w:rPr>
        <w:t>注：1、附法定代表人及委托代理人身份证复印件并加盖单位公章。</w:t>
      </w:r>
    </w:p>
    <w:p>
      <w:pPr>
        <w:kinsoku/>
        <w:overflowPunct/>
        <w:topLinePunct w:val="0"/>
        <w:bidi w:val="0"/>
        <w:spacing w:line="560" w:lineRule="exact"/>
        <w:ind w:firstLine="360"/>
        <w:jc w:val="left"/>
        <w:rPr>
          <w:rFonts w:ascii="宋体" w:hAnsi="宋体"/>
          <w:szCs w:val="21"/>
        </w:rPr>
      </w:pPr>
      <w:r>
        <w:rPr>
          <w:rFonts w:hint="eastAsia" w:ascii="宋体" w:hAnsi="宋体"/>
          <w:sz w:val="18"/>
          <w:szCs w:val="18"/>
        </w:rPr>
        <w:t>2、响应人的法定代表人直接参加竞争性谈判活动的，不提供本授权委托书。</w:t>
      </w:r>
    </w:p>
    <w:p>
      <w:pPr>
        <w:pStyle w:val="5"/>
        <w:kinsoku/>
        <w:overflowPunct/>
        <w:topLinePunct w:val="0"/>
        <w:bidi w:val="0"/>
        <w:spacing w:line="560" w:lineRule="exact"/>
        <w:jc w:val="center"/>
        <w:rPr>
          <w:rFonts w:ascii="宋体" w:hAnsi="宋体" w:eastAsia="宋体" w:cs="宋体"/>
          <w:b w:val="0"/>
          <w:sz w:val="32"/>
          <w:szCs w:val="32"/>
        </w:rPr>
      </w:pPr>
      <w:r>
        <w:rPr>
          <w:rFonts w:hint="eastAsia" w:ascii="宋体" w:hAnsi="宋体" w:eastAsia="宋体" w:cs="宋体"/>
          <w:szCs w:val="28"/>
        </w:rPr>
        <w:t>四、</w:t>
      </w:r>
      <w:bookmarkEnd w:id="313"/>
      <w:r>
        <w:rPr>
          <w:rFonts w:hint="eastAsia" w:ascii="宋体" w:hAnsi="宋体" w:eastAsia="宋体" w:cs="宋体"/>
          <w:szCs w:val="28"/>
        </w:rPr>
        <w:t>报价一览表</w:t>
      </w:r>
      <w:bookmarkEnd w:id="314"/>
      <w:bookmarkEnd w:id="315"/>
    </w:p>
    <w:p>
      <w:pPr>
        <w:kinsoku/>
        <w:overflowPunct/>
        <w:topLinePunct w:val="0"/>
        <w:bidi w:val="0"/>
        <w:spacing w:line="560" w:lineRule="exact"/>
        <w:rPr>
          <w:rFonts w:ascii="宋体" w:hAnsi="宋体" w:cs="宋体"/>
          <w:sz w:val="24"/>
        </w:rPr>
      </w:pPr>
      <w:r>
        <w:rPr>
          <w:rFonts w:hint="eastAsia" w:ascii="宋体" w:hAnsi="宋体" w:cs="宋体"/>
          <w:sz w:val="24"/>
        </w:rPr>
        <w:t xml:space="preserve">                                                货币单位：人民币/元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827"/>
        <w:gridCol w:w="282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blHeader/>
        </w:trPr>
        <w:tc>
          <w:tcPr>
            <w:tcW w:w="1065" w:type="dxa"/>
            <w:shd w:val="clear" w:color="auto" w:fill="FFFFFF"/>
            <w:noWrap w:val="0"/>
            <w:vAlign w:val="center"/>
          </w:tcPr>
          <w:p>
            <w:pPr>
              <w:kinsoku/>
              <w:overflowPunct/>
              <w:topLinePunct w:val="0"/>
              <w:bidi w:val="0"/>
              <w:spacing w:line="560" w:lineRule="exact"/>
              <w:jc w:val="center"/>
              <w:rPr>
                <w:rFonts w:ascii="宋体" w:hAnsi="宋体" w:cs="宋体"/>
                <w:sz w:val="24"/>
              </w:rPr>
            </w:pPr>
            <w:r>
              <w:rPr>
                <w:rFonts w:hint="eastAsia" w:ascii="宋体" w:hAnsi="宋体" w:cs="宋体"/>
                <w:sz w:val="24"/>
              </w:rPr>
              <w:t>序号</w:t>
            </w:r>
          </w:p>
        </w:tc>
        <w:tc>
          <w:tcPr>
            <w:tcW w:w="2827" w:type="dxa"/>
            <w:shd w:val="clear" w:color="auto" w:fill="FFFFFF"/>
            <w:noWrap w:val="0"/>
            <w:vAlign w:val="center"/>
          </w:tcPr>
          <w:p>
            <w:pPr>
              <w:kinsoku/>
              <w:overflowPunct/>
              <w:topLinePunct w:val="0"/>
              <w:bidi w:val="0"/>
              <w:spacing w:line="560" w:lineRule="exact"/>
              <w:jc w:val="center"/>
              <w:rPr>
                <w:rFonts w:ascii="宋体" w:hAnsi="宋体" w:cs="宋体"/>
                <w:sz w:val="24"/>
              </w:rPr>
            </w:pPr>
            <w:r>
              <w:rPr>
                <w:rFonts w:hint="eastAsia" w:ascii="宋体" w:hAnsi="宋体" w:cs="宋体"/>
                <w:sz w:val="24"/>
              </w:rPr>
              <w:t>项目名称</w:t>
            </w:r>
          </w:p>
        </w:tc>
        <w:tc>
          <w:tcPr>
            <w:tcW w:w="2828" w:type="dxa"/>
            <w:shd w:val="clear" w:color="auto" w:fill="FFFFFF"/>
            <w:noWrap w:val="0"/>
            <w:vAlign w:val="center"/>
          </w:tcPr>
          <w:p>
            <w:pPr>
              <w:kinsoku/>
              <w:overflowPunct/>
              <w:topLinePunct w:val="0"/>
              <w:bidi w:val="0"/>
              <w:spacing w:line="560" w:lineRule="exact"/>
              <w:jc w:val="center"/>
              <w:rPr>
                <w:rFonts w:ascii="宋体" w:hAnsi="宋体" w:cs="宋体"/>
                <w:sz w:val="24"/>
              </w:rPr>
            </w:pPr>
            <w:r>
              <w:rPr>
                <w:rFonts w:hint="eastAsia" w:ascii="宋体" w:hAnsi="宋体" w:cs="宋体"/>
                <w:sz w:val="24"/>
              </w:rPr>
              <w:t>谈判报价(元)</w:t>
            </w:r>
          </w:p>
        </w:tc>
        <w:tc>
          <w:tcPr>
            <w:tcW w:w="2460" w:type="dxa"/>
            <w:shd w:val="clear" w:color="auto" w:fill="FFFFFF"/>
            <w:noWrap w:val="0"/>
            <w:vAlign w:val="center"/>
          </w:tcPr>
          <w:p>
            <w:pPr>
              <w:kinsoku/>
              <w:overflowPunct/>
              <w:topLinePunct w:val="0"/>
              <w:bidi w:val="0"/>
              <w:spacing w:line="56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065" w:type="dxa"/>
            <w:shd w:val="clear" w:color="auto" w:fill="auto"/>
            <w:noWrap w:val="0"/>
            <w:vAlign w:val="center"/>
          </w:tcPr>
          <w:p>
            <w:pPr>
              <w:kinsoku/>
              <w:overflowPunct/>
              <w:topLinePunct w:val="0"/>
              <w:bidi w:val="0"/>
              <w:spacing w:line="560" w:lineRule="exact"/>
              <w:jc w:val="center"/>
              <w:rPr>
                <w:rFonts w:ascii="宋体" w:hAnsi="宋体" w:cs="宋体"/>
                <w:sz w:val="24"/>
              </w:rPr>
            </w:pPr>
          </w:p>
        </w:tc>
        <w:tc>
          <w:tcPr>
            <w:tcW w:w="2827" w:type="dxa"/>
            <w:shd w:val="clear" w:color="auto" w:fill="FFFFFF"/>
            <w:noWrap w:val="0"/>
            <w:vAlign w:val="center"/>
          </w:tcPr>
          <w:p>
            <w:pPr>
              <w:widowControl/>
              <w:kinsoku/>
              <w:overflowPunct/>
              <w:topLinePunct w:val="0"/>
              <w:bidi w:val="0"/>
              <w:spacing w:line="560" w:lineRule="exact"/>
              <w:jc w:val="center"/>
              <w:rPr>
                <w:rFonts w:ascii="宋体" w:hAnsi="宋体" w:cs="宋体"/>
                <w:sz w:val="24"/>
              </w:rPr>
            </w:pPr>
          </w:p>
        </w:tc>
        <w:tc>
          <w:tcPr>
            <w:tcW w:w="2828" w:type="dxa"/>
            <w:shd w:val="clear" w:color="auto" w:fill="FFFFFF"/>
            <w:noWrap w:val="0"/>
            <w:vAlign w:val="center"/>
          </w:tcPr>
          <w:p>
            <w:pPr>
              <w:kinsoku/>
              <w:overflowPunct/>
              <w:topLinePunct w:val="0"/>
              <w:bidi w:val="0"/>
              <w:spacing w:line="560" w:lineRule="exact"/>
              <w:jc w:val="center"/>
              <w:rPr>
                <w:rFonts w:ascii="宋体" w:hAnsi="宋体" w:cs="宋体"/>
                <w:sz w:val="24"/>
              </w:rPr>
            </w:pPr>
          </w:p>
        </w:tc>
        <w:tc>
          <w:tcPr>
            <w:tcW w:w="2460" w:type="dxa"/>
            <w:shd w:val="clear" w:color="auto" w:fill="FFFFFF"/>
            <w:noWrap w:val="0"/>
            <w:vAlign w:val="center"/>
          </w:tcPr>
          <w:p>
            <w:pPr>
              <w:kinsoku/>
              <w:overflowPunct/>
              <w:topLinePunct w:val="0"/>
              <w:bidi w:val="0"/>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065" w:type="dxa"/>
            <w:shd w:val="clear" w:color="auto" w:fill="auto"/>
            <w:noWrap w:val="0"/>
            <w:vAlign w:val="center"/>
          </w:tcPr>
          <w:p>
            <w:pPr>
              <w:kinsoku/>
              <w:overflowPunct/>
              <w:topLinePunct w:val="0"/>
              <w:bidi w:val="0"/>
              <w:spacing w:line="560" w:lineRule="exact"/>
              <w:jc w:val="center"/>
              <w:rPr>
                <w:rFonts w:ascii="宋体" w:hAnsi="宋体" w:cs="宋体"/>
                <w:sz w:val="24"/>
              </w:rPr>
            </w:pPr>
          </w:p>
        </w:tc>
        <w:tc>
          <w:tcPr>
            <w:tcW w:w="2827" w:type="dxa"/>
            <w:shd w:val="clear" w:color="auto" w:fill="FFFFFF"/>
            <w:noWrap w:val="0"/>
            <w:vAlign w:val="center"/>
          </w:tcPr>
          <w:p>
            <w:pPr>
              <w:widowControl/>
              <w:kinsoku/>
              <w:overflowPunct/>
              <w:topLinePunct w:val="0"/>
              <w:bidi w:val="0"/>
              <w:spacing w:line="560" w:lineRule="exact"/>
              <w:jc w:val="center"/>
              <w:rPr>
                <w:rFonts w:ascii="宋体" w:hAnsi="宋体" w:cs="宋体"/>
                <w:sz w:val="24"/>
              </w:rPr>
            </w:pPr>
          </w:p>
        </w:tc>
        <w:tc>
          <w:tcPr>
            <w:tcW w:w="2828" w:type="dxa"/>
            <w:shd w:val="clear" w:color="auto" w:fill="FFFFFF"/>
            <w:noWrap w:val="0"/>
            <w:vAlign w:val="center"/>
          </w:tcPr>
          <w:p>
            <w:pPr>
              <w:kinsoku/>
              <w:overflowPunct/>
              <w:topLinePunct w:val="0"/>
              <w:bidi w:val="0"/>
              <w:spacing w:line="560" w:lineRule="exact"/>
              <w:jc w:val="center"/>
              <w:rPr>
                <w:rFonts w:ascii="宋体" w:hAnsi="宋体" w:cs="宋体"/>
                <w:sz w:val="24"/>
              </w:rPr>
            </w:pPr>
          </w:p>
        </w:tc>
        <w:tc>
          <w:tcPr>
            <w:tcW w:w="2460" w:type="dxa"/>
            <w:shd w:val="clear" w:color="auto" w:fill="FFFFFF"/>
            <w:noWrap w:val="0"/>
            <w:vAlign w:val="center"/>
          </w:tcPr>
          <w:p>
            <w:pPr>
              <w:kinsoku/>
              <w:overflowPunct/>
              <w:topLinePunct w:val="0"/>
              <w:bidi w:val="0"/>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80" w:type="dxa"/>
            <w:gridSpan w:val="4"/>
            <w:noWrap w:val="0"/>
            <w:vAlign w:val="center"/>
          </w:tcPr>
          <w:p>
            <w:pPr>
              <w:widowControl/>
              <w:kinsoku/>
              <w:overflowPunct/>
              <w:topLinePunct w:val="0"/>
              <w:bidi w:val="0"/>
              <w:spacing w:line="560" w:lineRule="exact"/>
              <w:jc w:val="left"/>
              <w:rPr>
                <w:rFonts w:ascii="宋体" w:hAnsi="宋体" w:cs="宋体"/>
                <w:sz w:val="24"/>
              </w:rPr>
            </w:pPr>
            <w:r>
              <w:rPr>
                <w:rFonts w:hint="eastAsia" w:ascii="宋体" w:hAnsi="宋体" w:cs="宋体"/>
                <w:sz w:val="24"/>
              </w:rPr>
              <w:t>合计(大写)：</w:t>
            </w:r>
          </w:p>
        </w:tc>
      </w:tr>
    </w:tbl>
    <w:p>
      <w:pPr>
        <w:kinsoku/>
        <w:overflowPunct/>
        <w:topLinePunct w:val="0"/>
        <w:bidi w:val="0"/>
        <w:spacing w:line="560" w:lineRule="exact"/>
        <w:rPr>
          <w:rFonts w:ascii="宋体" w:hAnsi="宋体" w:cs="宋体"/>
          <w:szCs w:val="21"/>
        </w:rPr>
      </w:pPr>
      <w:r>
        <w:rPr>
          <w:rFonts w:hint="eastAsia" w:ascii="宋体" w:hAnsi="宋体" w:cs="宋体"/>
          <w:szCs w:val="21"/>
        </w:rPr>
        <w:t>注：</w:t>
      </w:r>
    </w:p>
    <w:p>
      <w:pPr>
        <w:kinsoku/>
        <w:overflowPunct/>
        <w:topLinePunct w:val="0"/>
        <w:bidi w:val="0"/>
        <w:spacing w:line="560" w:lineRule="exact"/>
        <w:rPr>
          <w:rFonts w:ascii="宋体" w:hAnsi="宋体"/>
          <w:bCs/>
          <w:szCs w:val="21"/>
        </w:rPr>
      </w:pPr>
      <w:r>
        <w:rPr>
          <w:rFonts w:hint="eastAsia" w:ascii="宋体" w:hAnsi="宋体" w:cs="宋体"/>
          <w:szCs w:val="21"/>
        </w:rPr>
        <w:t>1</w:t>
      </w:r>
      <w:r>
        <w:rPr>
          <w:rFonts w:hint="eastAsia" w:ascii="宋体" w:hAnsi="宋体"/>
          <w:bCs/>
          <w:szCs w:val="21"/>
        </w:rPr>
        <w:t>. 谈判报价为响应人全部报价（人民币），包括响应人履行本项目合同（如果成交）所必须的所有成本费用和响应人应承担的一切税费，</w:t>
      </w:r>
      <w:r>
        <w:rPr>
          <w:rFonts w:hint="eastAsia" w:ascii="宋体" w:hAnsi="宋体"/>
          <w:bCs/>
          <w:szCs w:val="21"/>
          <w:lang w:eastAsia="zh-CN"/>
        </w:rPr>
        <w:t>含</w:t>
      </w:r>
      <w:r>
        <w:rPr>
          <w:rFonts w:hint="eastAsia" w:ascii="宋体" w:hAnsi="宋体"/>
          <w:bCs/>
          <w:szCs w:val="21"/>
        </w:rPr>
        <w:t>设计、材料</w:t>
      </w:r>
      <w:r>
        <w:rPr>
          <w:rFonts w:hint="eastAsia" w:ascii="宋体" w:hAnsi="宋体"/>
          <w:bCs/>
          <w:szCs w:val="21"/>
          <w:lang w:val="en-US" w:eastAsia="zh-CN"/>
        </w:rPr>
        <w:t>采购</w:t>
      </w:r>
      <w:r>
        <w:rPr>
          <w:rFonts w:hint="eastAsia" w:ascii="宋体" w:hAnsi="宋体"/>
          <w:bCs/>
          <w:szCs w:val="21"/>
        </w:rPr>
        <w:t>、制造、包装、运输、安装、调试、检测、验收合格交付使用之前及保修期内保修服务与备用物件等所有其他有关各项的含税费用。</w:t>
      </w:r>
    </w:p>
    <w:p>
      <w:pPr>
        <w:kinsoku/>
        <w:overflowPunct/>
        <w:topLinePunct w:val="0"/>
        <w:bidi w:val="0"/>
        <w:spacing w:line="560" w:lineRule="exact"/>
        <w:rPr>
          <w:rFonts w:ascii="宋体" w:hAnsi="宋体"/>
          <w:bCs/>
          <w:szCs w:val="21"/>
        </w:rPr>
      </w:pPr>
      <w:r>
        <w:rPr>
          <w:rFonts w:hint="eastAsia" w:ascii="宋体" w:hAnsi="宋体"/>
          <w:bCs/>
          <w:szCs w:val="21"/>
        </w:rPr>
        <w:t>2. 若用小写表示的金额和用大写表示的金额不一致，以大写表示的金额为准。</w:t>
      </w:r>
    </w:p>
    <w:p>
      <w:pPr>
        <w:kinsoku/>
        <w:overflowPunct/>
        <w:topLinePunct w:val="0"/>
        <w:bidi w:val="0"/>
        <w:spacing w:line="560" w:lineRule="exact"/>
        <w:rPr>
          <w:rFonts w:ascii="宋体" w:hAnsi="宋体"/>
          <w:b/>
          <w:bCs/>
          <w:szCs w:val="21"/>
        </w:rPr>
      </w:pPr>
      <w:r>
        <w:rPr>
          <w:rFonts w:hint="eastAsia" w:ascii="宋体" w:hAnsi="宋体"/>
          <w:bCs/>
          <w:szCs w:val="21"/>
        </w:rPr>
        <w:t>3. 对含糊不清或不确定的报价将视为无效报价。</w:t>
      </w:r>
    </w:p>
    <w:p>
      <w:pPr>
        <w:kinsoku/>
        <w:overflowPunct/>
        <w:topLinePunct w:val="0"/>
        <w:bidi w:val="0"/>
        <w:spacing w:line="560" w:lineRule="exact"/>
        <w:jc w:val="left"/>
        <w:rPr>
          <w:rFonts w:ascii="宋体" w:hAnsi="宋体" w:cs="宋体"/>
          <w:sz w:val="24"/>
        </w:rPr>
      </w:pPr>
    </w:p>
    <w:p>
      <w:pPr>
        <w:pStyle w:val="11"/>
        <w:kinsoku/>
        <w:overflowPunct/>
        <w:topLinePunct w:val="0"/>
        <w:bidi w:val="0"/>
        <w:spacing w:line="560" w:lineRule="exact"/>
        <w:ind w:firstLine="0"/>
        <w:rPr>
          <w:rFonts w:ascii="宋体" w:hAnsi="宋体" w:cs="宋体"/>
          <w:sz w:val="24"/>
        </w:rPr>
      </w:pPr>
    </w:p>
    <w:p>
      <w:pPr>
        <w:pStyle w:val="11"/>
        <w:kinsoku/>
        <w:overflowPunct/>
        <w:topLinePunct w:val="0"/>
        <w:bidi w:val="0"/>
        <w:spacing w:line="560" w:lineRule="exact"/>
        <w:ind w:firstLine="0"/>
        <w:rPr>
          <w:rFonts w:ascii="宋体" w:hAnsi="宋体" w:cs="宋体"/>
          <w:sz w:val="24"/>
        </w:rPr>
      </w:pPr>
      <w:r>
        <w:rPr>
          <w:rFonts w:hint="eastAsia" w:ascii="宋体" w:hAnsi="宋体" w:cs="宋体"/>
          <w:sz w:val="24"/>
        </w:rPr>
        <w:t>响应人名称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(盖章)</w:t>
      </w:r>
    </w:p>
    <w:p>
      <w:pPr>
        <w:pStyle w:val="11"/>
        <w:kinsoku/>
        <w:overflowPunct/>
        <w:topLinePunct w:val="0"/>
        <w:bidi w:val="0"/>
        <w:spacing w:line="560" w:lineRule="exact"/>
        <w:ind w:firstLine="0"/>
        <w:rPr>
          <w:rFonts w:ascii="宋体" w:hAnsi="宋体" w:cs="宋体"/>
          <w:sz w:val="24"/>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(签字)</w:t>
      </w:r>
    </w:p>
    <w:p>
      <w:pPr>
        <w:pStyle w:val="11"/>
        <w:kinsoku/>
        <w:overflowPunct/>
        <w:topLinePunct w:val="0"/>
        <w:bidi w:val="0"/>
        <w:spacing w:line="560" w:lineRule="exact"/>
        <w:ind w:firstLine="0"/>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br w:type="page"/>
      </w:r>
    </w:p>
    <w:p>
      <w:pPr>
        <w:pStyle w:val="4"/>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rPr>
          <w:rFonts w:hint="eastAsia"/>
          <w:lang w:eastAsia="zh-CN"/>
        </w:rPr>
      </w:pPr>
      <w:r>
        <w:rPr>
          <w:rFonts w:hint="eastAsia" w:ascii="宋体" w:hAnsi="宋体" w:eastAsia="宋体" w:cs="宋体"/>
          <w:b/>
          <w:kern w:val="2"/>
          <w:sz w:val="28"/>
          <w:szCs w:val="28"/>
          <w:lang w:val="en-US" w:eastAsia="zh-CN" w:bidi="ar-SA"/>
        </w:rPr>
        <w:t>报价清单</w:t>
      </w:r>
    </w:p>
    <w:tbl>
      <w:tblPr>
        <w:tblStyle w:val="1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9"/>
        <w:gridCol w:w="746"/>
        <w:gridCol w:w="1326"/>
        <w:gridCol w:w="3144"/>
        <w:gridCol w:w="470"/>
        <w:gridCol w:w="780"/>
        <w:gridCol w:w="620"/>
        <w:gridCol w:w="6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79"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p>
        </w:tc>
        <w:tc>
          <w:tcPr>
            <w:tcW w:w="746"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项目名称</w:t>
            </w:r>
          </w:p>
        </w:tc>
        <w:tc>
          <w:tcPr>
            <w:tcW w:w="1326"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规格</w:t>
            </w:r>
          </w:p>
        </w:tc>
        <w:tc>
          <w:tcPr>
            <w:tcW w:w="3144"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材质</w:t>
            </w:r>
          </w:p>
        </w:tc>
        <w:tc>
          <w:tcPr>
            <w:tcW w:w="470"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单位</w:t>
            </w:r>
          </w:p>
        </w:tc>
        <w:tc>
          <w:tcPr>
            <w:tcW w:w="780"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数量</w:t>
            </w:r>
          </w:p>
        </w:tc>
        <w:tc>
          <w:tcPr>
            <w:tcW w:w="620"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单价</w:t>
            </w:r>
          </w:p>
        </w:tc>
        <w:tc>
          <w:tcPr>
            <w:tcW w:w="692"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157" w:type="dxa"/>
            <w:gridSpan w:val="8"/>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Times New Roman"/>
                <w:sz w:val="18"/>
                <w:szCs w:val="18"/>
              </w:rPr>
            </w:pPr>
            <w:r>
              <w:rPr>
                <w:rFonts w:hint="eastAsia"/>
                <w:b/>
                <w:sz w:val="18"/>
                <w:szCs w:val="18"/>
                <w:lang w:val="en-US" w:eastAsia="zh-CN"/>
              </w:rPr>
              <w:t>员工宿舍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jc w:val="center"/>
        </w:trPr>
        <w:tc>
          <w:tcPr>
            <w:tcW w:w="37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sz w:val="15"/>
                <w:szCs w:val="15"/>
              </w:rPr>
              <w:t>1</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4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eastAsia="宋体"/>
                <w:sz w:val="15"/>
                <w:szCs w:val="15"/>
                <w:lang w:val="en-US" w:eastAsia="zh-CN"/>
              </w:rPr>
            </w:pPr>
            <w:r>
              <w:rPr>
                <w:rFonts w:hint="eastAsia"/>
                <w:sz w:val="15"/>
                <w:szCs w:val="15"/>
                <w:lang w:val="en-US" w:eastAsia="zh-CN"/>
              </w:rPr>
              <w:t>床</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rFonts w:hint="eastAsia"/>
                <w:sz w:val="15"/>
                <w:szCs w:val="15"/>
                <w:lang w:val="en-US" w:eastAsia="zh-CN"/>
              </w:rPr>
              <w:t>12</w:t>
            </w:r>
            <w:r>
              <w:rPr>
                <w:sz w:val="15"/>
                <w:szCs w:val="15"/>
              </w:rPr>
              <w:t>00*</w:t>
            </w:r>
            <w:r>
              <w:rPr>
                <w:rFonts w:hint="eastAsia"/>
                <w:sz w:val="15"/>
                <w:szCs w:val="15"/>
                <w:lang w:val="en-US" w:eastAsia="zh-CN"/>
              </w:rPr>
              <w:t>2000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sz w:val="15"/>
                <w:szCs w:val="15"/>
              </w:rPr>
            </w:pPr>
            <w:r>
              <w:rPr>
                <w:rFonts w:hint="eastAsia"/>
                <w:sz w:val="15"/>
                <w:szCs w:val="15"/>
                <w:lang w:val="en-US" w:eastAsia="zh-CN"/>
              </w:rPr>
              <w:t>1.</w:t>
            </w:r>
            <w:r>
              <w:rPr>
                <w:rFonts w:hint="eastAsia"/>
                <w:sz w:val="15"/>
                <w:szCs w:val="15"/>
                <w:lang w:eastAsia="zh-CN"/>
              </w:rPr>
              <w:t>基材</w:t>
            </w:r>
            <w:r>
              <w:rPr>
                <w:sz w:val="15"/>
                <w:szCs w:val="15"/>
              </w:rPr>
              <w:t>：</w:t>
            </w:r>
            <w:r>
              <w:rPr>
                <w:rFonts w:hint="eastAsia"/>
                <w:sz w:val="15"/>
                <w:szCs w:val="15"/>
                <w:lang w:val="en-US" w:eastAsia="zh-CN"/>
              </w:rPr>
              <w:t>实木（松木、柏木、橡胶木）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sz w:val="15"/>
                <w:szCs w:val="15"/>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sz w:val="15"/>
                <w:szCs w:val="15"/>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20</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1500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eastAsia="宋体"/>
                <w:b/>
                <w:sz w:val="15"/>
                <w:szCs w:val="15"/>
                <w:lang w:eastAsia="zh-CN"/>
              </w:rPr>
            </w:pPr>
            <w:r>
              <w:rPr>
                <w:rFonts w:hint="eastAsia"/>
                <w:sz w:val="15"/>
                <w:szCs w:val="15"/>
                <w:lang w:val="en-US" w:eastAsia="zh-CN"/>
              </w:rPr>
              <w:t>1.</w:t>
            </w:r>
            <w:r>
              <w:rPr>
                <w:rFonts w:hint="eastAsia"/>
                <w:sz w:val="15"/>
                <w:szCs w:val="15"/>
                <w:lang w:eastAsia="zh-CN"/>
              </w:rPr>
              <w:t>基材</w:t>
            </w:r>
            <w:r>
              <w:rPr>
                <w:sz w:val="15"/>
                <w:szCs w:val="15"/>
              </w:rPr>
              <w:t>：</w:t>
            </w:r>
            <w:r>
              <w:rPr>
                <w:rFonts w:hint="eastAsia"/>
                <w:sz w:val="15"/>
                <w:szCs w:val="15"/>
                <w:lang w:val="en-US" w:eastAsia="zh-CN"/>
              </w:rPr>
              <w:t>实木（松木、柏木、橡胶木）2.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37</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1800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b/>
                <w:sz w:val="15"/>
                <w:szCs w:val="15"/>
              </w:rPr>
            </w:pPr>
            <w:r>
              <w:rPr>
                <w:rFonts w:hint="eastAsia"/>
                <w:sz w:val="15"/>
                <w:szCs w:val="15"/>
                <w:lang w:val="en-US" w:eastAsia="zh-CN"/>
              </w:rPr>
              <w:t>1.</w:t>
            </w:r>
            <w:r>
              <w:rPr>
                <w:rFonts w:hint="eastAsia"/>
                <w:sz w:val="15"/>
                <w:szCs w:val="15"/>
                <w:lang w:eastAsia="zh-CN"/>
              </w:rPr>
              <w:t>基材</w:t>
            </w:r>
            <w:r>
              <w:rPr>
                <w:sz w:val="15"/>
                <w:szCs w:val="15"/>
              </w:rPr>
              <w:t>：</w:t>
            </w:r>
            <w:r>
              <w:rPr>
                <w:rFonts w:hint="eastAsia"/>
                <w:sz w:val="15"/>
                <w:szCs w:val="15"/>
                <w:lang w:val="en-US" w:eastAsia="zh-CN"/>
              </w:rPr>
              <w:t>实木（松木、柏木、橡胶木）2.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2</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eastAsia="宋体"/>
                <w:sz w:val="15"/>
                <w:szCs w:val="15"/>
                <w:lang w:val="en-US" w:eastAsia="zh-CN"/>
              </w:rPr>
            </w:pPr>
            <w:r>
              <w:rPr>
                <w:rFonts w:hint="eastAsia"/>
                <w:sz w:val="15"/>
                <w:szCs w:val="15"/>
                <w:lang w:val="en-US" w:eastAsia="zh-CN"/>
              </w:rPr>
              <w:t>床头柜</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480</w:t>
            </w:r>
            <w:r>
              <w:rPr>
                <w:rFonts w:hint="eastAsia" w:ascii="宋体" w:hAnsi="宋体" w:eastAsia="宋体" w:cs="宋体"/>
                <w:sz w:val="15"/>
                <w:szCs w:val="15"/>
                <w:lang w:val="en-US" w:eastAsia="zh-CN"/>
              </w:rPr>
              <w:t>*</w:t>
            </w:r>
            <w:r>
              <w:rPr>
                <w:rFonts w:hint="eastAsia"/>
                <w:sz w:val="15"/>
                <w:szCs w:val="15"/>
                <w:lang w:val="en-US" w:eastAsia="zh-CN"/>
              </w:rPr>
              <w:t>400</w:t>
            </w:r>
            <w:r>
              <w:rPr>
                <w:rFonts w:hint="eastAsia" w:ascii="宋体" w:hAnsi="宋体" w:eastAsia="宋体" w:cs="宋体"/>
                <w:sz w:val="15"/>
                <w:szCs w:val="15"/>
                <w:lang w:val="en-US" w:eastAsia="zh-CN"/>
              </w:rPr>
              <w:t>*</w:t>
            </w:r>
            <w:r>
              <w:rPr>
                <w:rFonts w:hint="eastAsia"/>
                <w:sz w:val="15"/>
                <w:szCs w:val="15"/>
                <w:lang w:val="en-US" w:eastAsia="zh-CN"/>
              </w:rPr>
              <w:t>500</w:t>
            </w:r>
          </w:p>
        </w:tc>
        <w:tc>
          <w:tcPr>
            <w:tcW w:w="3144" w:type="dxa"/>
            <w:tcBorders>
              <w:tl2br w:val="nil"/>
              <w:tr2bl w:val="nil"/>
            </w:tcBorders>
            <w:noWrap w:val="0"/>
            <w:vAlign w:val="center"/>
          </w:tcPr>
          <w:p>
            <w:pPr>
              <w:pStyle w:val="23"/>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eastAsia="zh-CN"/>
              </w:rPr>
              <w:t>基材</w:t>
            </w:r>
            <w:r>
              <w:rPr>
                <w:sz w:val="15"/>
                <w:szCs w:val="15"/>
              </w:rPr>
              <w:t>：</w:t>
            </w:r>
            <w:r>
              <w:rPr>
                <w:rFonts w:hint="eastAsia"/>
                <w:sz w:val="15"/>
                <w:szCs w:val="15"/>
                <w:lang w:val="en-US" w:eastAsia="zh-CN"/>
              </w:rPr>
              <w:t>实木（松木、柏木、橡胶木）2.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个</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53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37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3</w:t>
            </w:r>
          </w:p>
        </w:tc>
        <w:tc>
          <w:tcPr>
            <w:tcW w:w="74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床垫</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1200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left"/>
              <w:textAlignment w:val="auto"/>
              <w:rPr>
                <w:rFonts w:hint="default"/>
                <w:sz w:val="15"/>
                <w:szCs w:val="15"/>
                <w:lang w:val="en-US" w:eastAsia="zh-CN"/>
              </w:rPr>
            </w:pPr>
            <w:r>
              <w:rPr>
                <w:rFonts w:hint="eastAsia"/>
                <w:sz w:val="15"/>
                <w:szCs w:val="15"/>
                <w:lang w:val="en-US" w:eastAsia="zh-CN"/>
              </w:rPr>
              <w:t>甲醛椰棕80mm</w:t>
            </w:r>
          </w:p>
        </w:tc>
        <w:tc>
          <w:tcPr>
            <w:tcW w:w="47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b w:val="0"/>
                <w:bCs w:val="0"/>
                <w:sz w:val="15"/>
                <w:szCs w:val="15"/>
                <w:u w:val="none"/>
                <w:lang w:val="en-US" w:eastAsia="zh-CN"/>
              </w:rPr>
            </w:pPr>
            <w:r>
              <w:rPr>
                <w:rFonts w:hint="eastAsia" w:eastAsia="宋体"/>
                <w:b w:val="0"/>
                <w:bCs w:val="0"/>
                <w:sz w:val="15"/>
                <w:szCs w:val="15"/>
                <w:u w:val="none"/>
                <w:lang w:val="en-US" w:eastAsia="zh-CN"/>
              </w:rPr>
              <w:t>20</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b w:val="0"/>
                <w:bCs w:val="0"/>
                <w:sz w:val="15"/>
                <w:szCs w:val="15"/>
                <w:u w:val="none"/>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b w:val="0"/>
                <w:bCs w:val="0"/>
                <w:sz w:val="15"/>
                <w:szCs w:val="15"/>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1500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b w:val="0"/>
                <w:bCs w:val="0"/>
                <w:sz w:val="15"/>
                <w:szCs w:val="15"/>
                <w:u w:val="none"/>
                <w:lang w:val="en-US" w:eastAsia="zh-CN"/>
              </w:rPr>
            </w:pPr>
            <w:r>
              <w:rPr>
                <w:rFonts w:hint="eastAsia"/>
                <w:b w:val="0"/>
                <w:bCs w:val="0"/>
                <w:sz w:val="15"/>
                <w:szCs w:val="15"/>
                <w:u w:val="none"/>
                <w:lang w:val="en-US" w:eastAsia="zh-CN"/>
              </w:rPr>
              <w:t>37</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b w:val="0"/>
                <w:bCs w:val="0"/>
                <w:sz w:val="15"/>
                <w:szCs w:val="15"/>
                <w:u w:val="none"/>
                <w:lang w:val="en-US"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b w:val="0"/>
                <w:bCs w:val="0"/>
                <w:sz w:val="15"/>
                <w:szCs w:val="15"/>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1800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b w:val="0"/>
                <w:bCs w:val="0"/>
                <w:sz w:val="15"/>
                <w:szCs w:val="15"/>
                <w:u w:val="none"/>
                <w:lang w:val="en-US" w:eastAsia="zh-CN"/>
              </w:rPr>
            </w:pPr>
            <w:r>
              <w:rPr>
                <w:rFonts w:hint="eastAsia"/>
                <w:b w:val="0"/>
                <w:bCs w:val="0"/>
                <w:sz w:val="15"/>
                <w:szCs w:val="15"/>
                <w:u w:val="none"/>
                <w:lang w:val="en-US" w:eastAsia="zh-CN"/>
              </w:rPr>
              <w:t>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b w:val="0"/>
                <w:bCs w:val="0"/>
                <w:sz w:val="15"/>
                <w:szCs w:val="15"/>
                <w:u w:val="none"/>
                <w:lang w:val="en-US"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b w:val="0"/>
                <w:bCs w:val="0"/>
                <w:sz w:val="15"/>
                <w:szCs w:val="15"/>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jc w:val="center"/>
        </w:trPr>
        <w:tc>
          <w:tcPr>
            <w:tcW w:w="37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4</w:t>
            </w:r>
          </w:p>
        </w:tc>
        <w:tc>
          <w:tcPr>
            <w:tcW w:w="74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sz w:val="15"/>
                <w:szCs w:val="15"/>
              </w:rPr>
              <w:t>沙发</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sz w:val="15"/>
                <w:szCs w:val="15"/>
              </w:rPr>
              <w:t>单人位</w:t>
            </w:r>
          </w:p>
        </w:tc>
        <w:tc>
          <w:tcPr>
            <w:tcW w:w="3144"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1.面材：进口优质牛皮；</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sz w:val="15"/>
                <w:szCs w:val="15"/>
              </w:rPr>
            </w:pPr>
            <w:r>
              <w:rPr>
                <w:rFonts w:hint="eastAsia"/>
                <w:sz w:val="15"/>
                <w:szCs w:val="15"/>
                <w:lang w:val="en-US" w:eastAsia="zh-CN"/>
              </w:rPr>
              <w:t>2.基材：黄云香与青松木料框架打底，高弹一次成型不助燃无毒海绵，通过BS7174-1995安全测试标准，在点燃火种离开10秒后，海绵自动结焦熄灭，少毒无烟，密度为29#-40#范围）</w:t>
            </w:r>
          </w:p>
        </w:tc>
        <w:tc>
          <w:tcPr>
            <w:tcW w:w="47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sz w:val="15"/>
                <w:szCs w:val="15"/>
              </w:rPr>
              <w:t>把</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sz w:val="15"/>
                <w:szCs w:val="15"/>
                <w:lang w:val="en-US" w:eastAsia="zh-CN"/>
              </w:rPr>
            </w:pPr>
            <w:r>
              <w:rPr>
                <w:rFonts w:hint="eastAsia" w:eastAsia="宋体"/>
                <w:sz w:val="15"/>
                <w:szCs w:val="15"/>
                <w:lang w:val="en-US" w:eastAsia="zh-CN"/>
              </w:rPr>
              <w:t>5</w:t>
            </w:r>
          </w:p>
        </w:tc>
        <w:tc>
          <w:tcPr>
            <w:tcW w:w="62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双人位</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5</w:t>
            </w:r>
          </w:p>
        </w:tc>
        <w:tc>
          <w:tcPr>
            <w:tcW w:w="62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692"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三人位</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2</w:t>
            </w:r>
          </w:p>
        </w:tc>
        <w:tc>
          <w:tcPr>
            <w:tcW w:w="62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692"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firstLine="150" w:firstLineChars="100"/>
              <w:jc w:val="center"/>
              <w:textAlignment w:val="auto"/>
              <w:rPr>
                <w:rFonts w:hint="default" w:eastAsia="宋体"/>
                <w:sz w:val="15"/>
                <w:szCs w:val="15"/>
                <w:lang w:val="en-US" w:eastAsia="zh-CN"/>
              </w:rPr>
            </w:pPr>
            <w:r>
              <w:rPr>
                <w:rFonts w:hint="eastAsia" w:eastAsia="宋体"/>
                <w:sz w:val="15"/>
                <w:szCs w:val="15"/>
                <w:lang w:val="en-US" w:eastAsia="zh-CN"/>
              </w:rPr>
              <w:t>5</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eastAsia="宋体"/>
                <w:sz w:val="15"/>
                <w:szCs w:val="15"/>
                <w:lang w:val="en-US" w:eastAsia="zh-CN"/>
              </w:rPr>
            </w:pPr>
            <w:r>
              <w:rPr>
                <w:rFonts w:hint="eastAsia"/>
                <w:sz w:val="15"/>
                <w:szCs w:val="15"/>
                <w:lang w:val="en-US" w:eastAsia="zh-CN"/>
              </w:rPr>
              <w:t>衣柜</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1360</w:t>
            </w:r>
            <w:r>
              <w:rPr>
                <w:rFonts w:hint="eastAsia" w:ascii="宋体" w:hAnsi="宋体" w:eastAsia="宋体" w:cs="宋体"/>
                <w:sz w:val="15"/>
                <w:szCs w:val="15"/>
                <w:lang w:val="en-US" w:eastAsia="zh-CN"/>
              </w:rPr>
              <w:t>*</w:t>
            </w:r>
            <w:r>
              <w:rPr>
                <w:rFonts w:hint="eastAsia"/>
                <w:sz w:val="15"/>
                <w:szCs w:val="15"/>
                <w:lang w:val="en-US" w:eastAsia="zh-CN"/>
              </w:rPr>
              <w:t>600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1.基材：柏木、橡胶木、松木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default"/>
                <w:sz w:val="15"/>
                <w:szCs w:val="15"/>
                <w:lang w:val="en-US" w:eastAsia="zh-CN"/>
              </w:rPr>
            </w:pPr>
            <w:r>
              <w:rPr>
                <w:rFonts w:hint="eastAsia"/>
                <w:sz w:val="15"/>
                <w:szCs w:val="15"/>
                <w:lang w:val="en-US" w:eastAsia="zh-CN"/>
              </w:rPr>
              <w:t>3.五金件：德国BMB、海蒂斯、海福乐</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个</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firstLine="300" w:firstLineChars="200"/>
              <w:jc w:val="both"/>
              <w:textAlignment w:val="auto"/>
              <w:rPr>
                <w:rFonts w:hint="default" w:eastAsia="宋体"/>
                <w:sz w:val="15"/>
                <w:szCs w:val="15"/>
                <w:lang w:val="en-US" w:eastAsia="zh-CN"/>
              </w:rPr>
            </w:pPr>
            <w:r>
              <w:rPr>
                <w:rFonts w:hint="eastAsia"/>
                <w:sz w:val="15"/>
                <w:szCs w:val="15"/>
                <w:lang w:val="en-US" w:eastAsia="zh-CN"/>
              </w:rPr>
              <w:t>41</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sz w:val="15"/>
                <w:szCs w:val="15"/>
                <w:lang w:val="en-US" w:eastAsia="zh-CN"/>
              </w:rPr>
            </w:pPr>
            <w:r>
              <w:rPr>
                <w:rFonts w:hint="eastAsia" w:eastAsia="宋体"/>
                <w:sz w:val="15"/>
                <w:szCs w:val="15"/>
                <w:lang w:val="en-US" w:eastAsia="zh-CN"/>
              </w:rPr>
              <w:t>6</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sz w:val="15"/>
                <w:szCs w:val="15"/>
              </w:rPr>
            </w:pPr>
            <w:r>
              <w:rPr>
                <w:sz w:val="15"/>
                <w:szCs w:val="15"/>
              </w:rPr>
              <w:t>茶几</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sz w:val="15"/>
                <w:szCs w:val="15"/>
              </w:rPr>
            </w:pPr>
            <w:r>
              <w:rPr>
                <w:sz w:val="15"/>
                <w:szCs w:val="15"/>
              </w:rPr>
              <w:t>1</w:t>
            </w:r>
            <w:r>
              <w:rPr>
                <w:rFonts w:hint="eastAsia"/>
                <w:sz w:val="15"/>
                <w:szCs w:val="15"/>
                <w:lang w:val="en-US" w:eastAsia="zh-CN"/>
              </w:rPr>
              <w:t>2</w:t>
            </w:r>
            <w:r>
              <w:rPr>
                <w:sz w:val="15"/>
                <w:szCs w:val="15"/>
              </w:rPr>
              <w:t>00*700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1.基材：柏木、橡胶木、松木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default"/>
                <w:sz w:val="15"/>
                <w:szCs w:val="15"/>
                <w:lang w:val="en-US" w:eastAsia="zh-CN"/>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sz w:val="15"/>
                <w:szCs w:val="15"/>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sz w:val="15"/>
                <w:szCs w:val="15"/>
                <w:lang w:val="en-US" w:eastAsia="zh-CN"/>
              </w:rPr>
            </w:pPr>
            <w:r>
              <w:rPr>
                <w:rFonts w:hint="eastAsia" w:eastAsia="宋体"/>
                <w:sz w:val="15"/>
                <w:szCs w:val="15"/>
                <w:lang w:val="en-US" w:eastAsia="zh-CN"/>
              </w:rPr>
              <w:t>5</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7" w:hRule="atLeast"/>
          <w:jc w:val="center"/>
        </w:trPr>
        <w:tc>
          <w:tcPr>
            <w:tcW w:w="37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7</w:t>
            </w:r>
          </w:p>
        </w:tc>
        <w:tc>
          <w:tcPr>
            <w:tcW w:w="74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餐桌（圆桌）</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2000 mm 直径</w:t>
            </w:r>
          </w:p>
        </w:tc>
        <w:tc>
          <w:tcPr>
            <w:tcW w:w="3144"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1.基材：“大亚”、“福人”、“丰林”或同等级品牌中密度纤维板；E1级环保标准；</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2.面材：10mm厚实木木皮；</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3.油漆：“华润”、“大宝”、“嘉宝莉”或同等级品牌油漆，UV全自动生产线封闭涂装；漆膜表面硬度达到3H，耐磨等级达到1级</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4.五金件：德国BMB、海蒂斯、海福乐</w:t>
            </w:r>
          </w:p>
        </w:tc>
        <w:tc>
          <w:tcPr>
            <w:tcW w:w="47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1</w:t>
            </w:r>
          </w:p>
        </w:tc>
        <w:tc>
          <w:tcPr>
            <w:tcW w:w="62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sz w:val="15"/>
                <w:szCs w:val="15"/>
                <w:lang w:val="en-US" w:eastAsia="zh-CN"/>
              </w:rPr>
            </w:pPr>
            <w:r>
              <w:rPr>
                <w:rFonts w:hint="eastAsia"/>
                <w:sz w:val="15"/>
                <w:szCs w:val="15"/>
                <w:lang w:val="en-US" w:eastAsia="zh-CN"/>
              </w:rPr>
              <w:t>1500mm直径</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1</w:t>
            </w:r>
          </w:p>
        </w:tc>
        <w:tc>
          <w:tcPr>
            <w:tcW w:w="62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692"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3"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sz w:val="15"/>
                <w:szCs w:val="15"/>
                <w:lang w:val="en-US" w:eastAsia="zh-CN"/>
              </w:rPr>
            </w:pPr>
            <w:r>
              <w:rPr>
                <w:rFonts w:hint="eastAsia"/>
                <w:sz w:val="15"/>
                <w:szCs w:val="15"/>
                <w:lang w:val="en-US" w:eastAsia="zh-CN"/>
              </w:rPr>
              <w:t>1300 mm直径</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1</w:t>
            </w:r>
          </w:p>
        </w:tc>
        <w:tc>
          <w:tcPr>
            <w:tcW w:w="62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692"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8</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sz w:val="15"/>
                <w:szCs w:val="15"/>
                <w:lang w:val="en-US" w:eastAsia="zh-CN"/>
              </w:rPr>
            </w:pPr>
            <w:r>
              <w:rPr>
                <w:rFonts w:hint="eastAsia"/>
                <w:sz w:val="15"/>
                <w:szCs w:val="15"/>
                <w:lang w:val="en-US" w:eastAsia="zh-CN"/>
              </w:rPr>
              <w:t>圆桌椅</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sz w:val="15"/>
                <w:szCs w:val="15"/>
              </w:rPr>
            </w:pPr>
            <w:r>
              <w:rPr>
                <w:rFonts w:hint="eastAsia"/>
                <w:sz w:val="15"/>
                <w:szCs w:val="15"/>
                <w:lang w:val="en-US" w:eastAsia="zh-CN"/>
              </w:rPr>
              <w:t>常规尺寸</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1.基材：柏木、橡胶木、松木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sz w:val="15"/>
                <w:szCs w:val="15"/>
                <w:lang w:val="en-US" w:eastAsia="zh-CN"/>
              </w:rPr>
            </w:pPr>
            <w:r>
              <w:rPr>
                <w:rFonts w:hint="eastAsia"/>
                <w:sz w:val="15"/>
                <w:szCs w:val="15"/>
                <w:lang w:val="en-US" w:eastAsia="zh-CN"/>
              </w:rPr>
              <w:t>把</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eastAsia="宋体"/>
                <w:sz w:val="15"/>
                <w:szCs w:val="15"/>
                <w:lang w:val="en-US" w:eastAsia="zh-CN"/>
              </w:rPr>
              <w:t>30</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9</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sz w:val="15"/>
                <w:szCs w:val="15"/>
                <w:lang w:val="en-US" w:eastAsia="zh-CN"/>
              </w:rPr>
            </w:pPr>
            <w:r>
              <w:rPr>
                <w:rFonts w:hint="eastAsia"/>
                <w:sz w:val="15"/>
                <w:szCs w:val="15"/>
                <w:lang w:val="en-US" w:eastAsia="zh-CN"/>
              </w:rPr>
              <w:t>备餐柜</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sz w:val="15"/>
                <w:szCs w:val="15"/>
                <w:lang w:val="en-US" w:eastAsia="zh-CN"/>
              </w:rPr>
            </w:pPr>
            <w:r>
              <w:rPr>
                <w:rFonts w:hint="eastAsia"/>
                <w:sz w:val="15"/>
                <w:szCs w:val="15"/>
                <w:lang w:val="en-US" w:eastAsia="zh-CN"/>
              </w:rPr>
              <w:t>800</w:t>
            </w:r>
            <w:r>
              <w:rPr>
                <w:rFonts w:hint="eastAsia" w:ascii="宋体" w:hAnsi="宋体" w:eastAsia="宋体" w:cs="宋体"/>
                <w:sz w:val="15"/>
                <w:szCs w:val="15"/>
                <w:lang w:val="en-US" w:eastAsia="zh-CN"/>
              </w:rPr>
              <w:t>*</w:t>
            </w:r>
            <w:r>
              <w:rPr>
                <w:rFonts w:hint="eastAsia"/>
                <w:sz w:val="15"/>
                <w:szCs w:val="15"/>
                <w:lang w:val="en-US" w:eastAsia="zh-CN"/>
              </w:rPr>
              <w:t>400</w:t>
            </w:r>
            <w:r>
              <w:rPr>
                <w:rFonts w:hint="eastAsia" w:ascii="宋体" w:hAnsi="宋体" w:eastAsia="宋体" w:cs="宋体"/>
                <w:sz w:val="15"/>
                <w:szCs w:val="15"/>
                <w:lang w:val="en-US" w:eastAsia="zh-CN"/>
              </w:rPr>
              <w:t>*</w:t>
            </w:r>
            <w:r>
              <w:rPr>
                <w:rFonts w:hint="eastAsia"/>
                <w:sz w:val="15"/>
                <w:szCs w:val="15"/>
                <w:lang w:val="en-US" w:eastAsia="zh-CN"/>
              </w:rPr>
              <w:t>800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1.基材：柏木、橡胶木、松木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default"/>
                <w:sz w:val="15"/>
                <w:szCs w:val="15"/>
                <w:lang w:val="en-US" w:eastAsia="zh-CN"/>
              </w:rPr>
            </w:pPr>
            <w:r>
              <w:rPr>
                <w:rFonts w:hint="eastAsia"/>
                <w:sz w:val="15"/>
                <w:szCs w:val="15"/>
                <w:lang w:val="en-US" w:eastAsia="zh-CN"/>
              </w:rPr>
              <w:t>3.五金件：德国BMB、海蒂斯、海福</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sz w:val="15"/>
                <w:szCs w:val="15"/>
                <w:lang w:val="en-US" w:eastAsia="zh-CN"/>
              </w:rPr>
            </w:pPr>
            <w:r>
              <w:rPr>
                <w:rFonts w:hint="eastAsia"/>
                <w:sz w:val="15"/>
                <w:szCs w:val="15"/>
                <w:lang w:val="en-US" w:eastAsia="zh-CN"/>
              </w:rPr>
              <w:t>个</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eastAsia="宋体"/>
                <w:sz w:val="15"/>
                <w:szCs w:val="15"/>
                <w:lang w:val="en-US" w:eastAsia="zh-CN"/>
              </w:rPr>
            </w:pPr>
            <w:r>
              <w:rPr>
                <w:rFonts w:hint="eastAsia" w:eastAsia="宋体"/>
                <w:sz w:val="15"/>
                <w:szCs w:val="15"/>
                <w:lang w:val="en-US" w:eastAsia="zh-CN"/>
              </w:rPr>
              <w:t>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4"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10</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员工餐桌</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（方桌）</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rPr>
            </w:pPr>
            <w:r>
              <w:rPr>
                <w:rFonts w:hint="eastAsia"/>
                <w:sz w:val="15"/>
                <w:szCs w:val="15"/>
                <w:lang w:val="en-US" w:eastAsia="zh-CN"/>
              </w:rPr>
              <w:t>600</w:t>
            </w:r>
            <w:r>
              <w:rPr>
                <w:rFonts w:hint="eastAsia" w:ascii="宋体" w:hAnsi="宋体" w:eastAsia="宋体" w:cs="宋体"/>
                <w:sz w:val="15"/>
                <w:szCs w:val="15"/>
                <w:lang w:val="en-US" w:eastAsia="zh-CN"/>
              </w:rPr>
              <w:t>*</w:t>
            </w:r>
            <w:r>
              <w:rPr>
                <w:rFonts w:hint="eastAsia"/>
                <w:sz w:val="15"/>
                <w:szCs w:val="15"/>
                <w:lang w:val="en-US" w:eastAsia="zh-CN"/>
              </w:rPr>
              <w:t>700</w:t>
            </w:r>
            <w:r>
              <w:rPr>
                <w:rFonts w:hint="eastAsia" w:ascii="宋体" w:hAnsi="宋体" w:eastAsia="宋体" w:cs="宋体"/>
                <w:sz w:val="15"/>
                <w:szCs w:val="15"/>
                <w:lang w:val="en-US" w:eastAsia="zh-CN"/>
              </w:rPr>
              <w:t>*750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1.基材：“大亚”、“福人”、“丰林”或同等级品牌中密度纤维板；E1级环保标准；</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2.面材：10mm厚实木木皮；</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3.油漆：“华润”、“大宝”、“嘉宝莉”或同等级品牌油漆，UV全自动生产线封闭涂装；漆膜表面硬度达到3H，耐磨等级达到1级</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default"/>
                <w:sz w:val="15"/>
                <w:szCs w:val="15"/>
                <w:lang w:val="en-US" w:eastAsia="zh-CN"/>
              </w:rPr>
            </w:pPr>
            <w:r>
              <w:rPr>
                <w:rFonts w:hint="eastAsia"/>
                <w:sz w:val="15"/>
                <w:szCs w:val="15"/>
                <w:lang w:val="en-US" w:eastAsia="zh-CN"/>
              </w:rPr>
              <w:t>4.脚架不锈钢</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22</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11</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餐椅</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460</w:t>
            </w:r>
            <w:r>
              <w:rPr>
                <w:rFonts w:hint="eastAsia" w:ascii="宋体" w:hAnsi="宋体" w:eastAsia="宋体" w:cs="宋体"/>
                <w:sz w:val="15"/>
                <w:szCs w:val="15"/>
                <w:lang w:val="en-US" w:eastAsia="zh-CN"/>
              </w:rPr>
              <w:t>*</w:t>
            </w:r>
            <w:r>
              <w:rPr>
                <w:rFonts w:hint="eastAsia"/>
                <w:sz w:val="15"/>
                <w:szCs w:val="15"/>
                <w:lang w:val="en-US" w:eastAsia="zh-CN"/>
              </w:rPr>
              <w:t>500</w:t>
            </w:r>
            <w:r>
              <w:rPr>
                <w:rFonts w:hint="eastAsia" w:ascii="宋体" w:hAnsi="宋体" w:eastAsia="宋体" w:cs="宋体"/>
                <w:sz w:val="15"/>
                <w:szCs w:val="15"/>
                <w:lang w:val="en-US" w:eastAsia="zh-CN"/>
              </w:rPr>
              <w:t>*</w:t>
            </w:r>
            <w:r>
              <w:rPr>
                <w:rFonts w:hint="eastAsia"/>
                <w:sz w:val="15"/>
                <w:szCs w:val="15"/>
                <w:lang w:val="en-US" w:eastAsia="zh-CN"/>
              </w:rPr>
              <w:t>800</w:t>
            </w:r>
          </w:p>
        </w:tc>
        <w:tc>
          <w:tcPr>
            <w:tcW w:w="3144" w:type="dxa"/>
            <w:tcBorders>
              <w:tl2br w:val="nil"/>
              <w:tr2bl w:val="nil"/>
            </w:tcBorders>
            <w:noWrap w:val="0"/>
            <w:vAlign w:val="center"/>
          </w:tcPr>
          <w:p>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sz w:val="15"/>
                <w:szCs w:val="15"/>
                <w:lang w:val="en-US" w:eastAsia="zh-CN"/>
              </w:rPr>
            </w:pPr>
            <w:r>
              <w:rPr>
                <w:rFonts w:hint="eastAsia"/>
                <w:sz w:val="15"/>
                <w:szCs w:val="15"/>
                <w:lang w:val="en-US" w:eastAsia="zh-CN"/>
              </w:rPr>
              <w:t>1.PP（聚丙烯）和GF玻纤料配比合成树脂一体注塑成型。强度高韧性好，性能稳定，环保无臭、无毒  2.钢脚钢架Ø19*1.5采用粉体静电黑色喷塑 3.承重150公斤左右</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把</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44</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12</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卧室椅</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p>
        </w:tc>
        <w:tc>
          <w:tcPr>
            <w:tcW w:w="3144" w:type="dxa"/>
            <w:tcBorders>
              <w:tl2br w:val="nil"/>
              <w:tr2bl w:val="nil"/>
            </w:tcBorders>
            <w:noWrap w:val="0"/>
            <w:vAlign w:val="center"/>
          </w:tcPr>
          <w:p>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default"/>
                <w:sz w:val="15"/>
                <w:szCs w:val="15"/>
                <w:lang w:val="en-US" w:eastAsia="zh-CN"/>
              </w:rPr>
            </w:pPr>
            <w:r>
              <w:rPr>
                <w:rFonts w:hint="eastAsia"/>
                <w:sz w:val="15"/>
                <w:szCs w:val="15"/>
                <w:lang w:val="en-US" w:eastAsia="zh-CN"/>
              </w:rPr>
              <w:t>1.椅子基材：科技布软包、</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63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13</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卧室茶几</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sz w:val="15"/>
                <w:szCs w:val="15"/>
                <w:lang w:val="en-US" w:eastAsia="zh-CN"/>
              </w:rPr>
            </w:pPr>
            <w:r>
              <w:rPr>
                <w:rFonts w:hint="eastAsia"/>
                <w:sz w:val="15"/>
                <w:szCs w:val="15"/>
                <w:lang w:val="en-US" w:eastAsia="zh-CN"/>
              </w:rPr>
              <w:t>600</w:t>
            </w:r>
          </w:p>
        </w:tc>
        <w:tc>
          <w:tcPr>
            <w:tcW w:w="3144" w:type="dxa"/>
            <w:tcBorders>
              <w:tl2br w:val="nil"/>
              <w:tr2bl w:val="nil"/>
            </w:tcBorders>
            <w:noWrap w:val="0"/>
            <w:vAlign w:val="center"/>
          </w:tcPr>
          <w:p>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default"/>
                <w:sz w:val="15"/>
                <w:szCs w:val="15"/>
                <w:lang w:val="en-US" w:eastAsia="zh-CN"/>
              </w:rPr>
            </w:pPr>
            <w:r>
              <w:rPr>
                <w:rFonts w:hint="eastAsia"/>
                <w:sz w:val="15"/>
                <w:szCs w:val="15"/>
                <w:lang w:val="en-US" w:eastAsia="zh-CN"/>
              </w:rPr>
              <w:t>基材：岩板</w:t>
            </w:r>
            <w:r>
              <w:rPr>
                <w:rFonts w:hint="eastAsia" w:ascii="宋体" w:hAnsi="宋体" w:eastAsia="宋体" w:cs="宋体"/>
                <w:sz w:val="15"/>
                <w:szCs w:val="15"/>
                <w:lang w:val="en-US" w:eastAsia="zh-CN"/>
              </w:rPr>
              <w:t>＋</w:t>
            </w:r>
            <w:r>
              <w:rPr>
                <w:rFonts w:hint="eastAsia"/>
                <w:sz w:val="15"/>
                <w:szCs w:val="15"/>
                <w:lang w:val="en-US" w:eastAsia="zh-CN"/>
              </w:rPr>
              <w:t>金属脚架</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13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bl>
    <w:p>
      <w:pPr>
        <w:pStyle w:val="5"/>
        <w:kinsoku/>
        <w:overflowPunct/>
        <w:topLinePunct w:val="0"/>
        <w:bidi w:val="0"/>
        <w:spacing w:line="560" w:lineRule="exact"/>
        <w:jc w:val="center"/>
        <w:rPr>
          <w:rFonts w:ascii="宋体" w:hAnsi="宋体" w:eastAsia="宋体" w:cs="宋体"/>
          <w:kern w:val="0"/>
          <w:sz w:val="32"/>
          <w:szCs w:val="32"/>
        </w:rPr>
      </w:pPr>
      <w:r>
        <w:rPr>
          <w:rFonts w:hint="eastAsia" w:ascii="宋体" w:hAnsi="宋体" w:eastAsia="宋体" w:cs="宋体"/>
          <w:szCs w:val="28"/>
        </w:rPr>
        <w:t>五、响应人基本情况表</w:t>
      </w:r>
    </w:p>
    <w:tbl>
      <w:tblPr>
        <w:tblStyle w:val="17"/>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98"/>
        <w:gridCol w:w="1077"/>
        <w:gridCol w:w="1375"/>
        <w:gridCol w:w="1396"/>
        <w:gridCol w:w="8"/>
        <w:gridCol w:w="1476"/>
        <w:gridCol w:w="178"/>
        <w:gridCol w:w="838"/>
        <w:gridCol w:w="113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响应人名称</w:t>
            </w:r>
          </w:p>
        </w:tc>
        <w:tc>
          <w:tcPr>
            <w:tcW w:w="7482" w:type="dxa"/>
            <w:gridSpan w:val="8"/>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注册地址</w:t>
            </w:r>
          </w:p>
        </w:tc>
        <w:tc>
          <w:tcPr>
            <w:tcW w:w="3856" w:type="dxa"/>
            <w:gridSpan w:val="4"/>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476"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邮政编码</w:t>
            </w:r>
          </w:p>
        </w:tc>
        <w:tc>
          <w:tcPr>
            <w:tcW w:w="2150" w:type="dxa"/>
            <w:gridSpan w:val="3"/>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vMerge w:val="restart"/>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联系方式</w:t>
            </w:r>
          </w:p>
        </w:tc>
        <w:tc>
          <w:tcPr>
            <w:tcW w:w="1077"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联系人</w:t>
            </w:r>
          </w:p>
        </w:tc>
        <w:tc>
          <w:tcPr>
            <w:tcW w:w="2771"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484"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电话</w:t>
            </w:r>
          </w:p>
        </w:tc>
        <w:tc>
          <w:tcPr>
            <w:tcW w:w="2150" w:type="dxa"/>
            <w:gridSpan w:val="3"/>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8" w:hRule="atLeast"/>
        </w:trPr>
        <w:tc>
          <w:tcPr>
            <w:tcW w:w="1698" w:type="dxa"/>
            <w:vMerge w:val="continue"/>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077"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传真</w:t>
            </w:r>
          </w:p>
        </w:tc>
        <w:tc>
          <w:tcPr>
            <w:tcW w:w="2771"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484"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网址</w:t>
            </w:r>
          </w:p>
        </w:tc>
        <w:tc>
          <w:tcPr>
            <w:tcW w:w="2150" w:type="dxa"/>
            <w:gridSpan w:val="3"/>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组织结构</w:t>
            </w:r>
          </w:p>
        </w:tc>
        <w:tc>
          <w:tcPr>
            <w:tcW w:w="7482" w:type="dxa"/>
            <w:gridSpan w:val="8"/>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法定代表人</w:t>
            </w:r>
          </w:p>
        </w:tc>
        <w:tc>
          <w:tcPr>
            <w:tcW w:w="1077"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姓名</w:t>
            </w:r>
          </w:p>
        </w:tc>
        <w:tc>
          <w:tcPr>
            <w:tcW w:w="1375"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396"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技术职称</w:t>
            </w:r>
          </w:p>
        </w:tc>
        <w:tc>
          <w:tcPr>
            <w:tcW w:w="1484"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016"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电话</w:t>
            </w:r>
          </w:p>
        </w:tc>
        <w:tc>
          <w:tcPr>
            <w:tcW w:w="1134" w:type="dxa"/>
            <w:noWrap w:val="0"/>
            <w:vAlign w:val="center"/>
          </w:tcPr>
          <w:p>
            <w:pPr>
              <w:kinsoku/>
              <w:overflowPunct/>
              <w:topLinePunct w:val="0"/>
              <w:autoSpaceDE w:val="0"/>
              <w:autoSpaceDN w:val="0"/>
              <w:bidi w:val="0"/>
              <w:adjustRightInd w:val="0"/>
              <w:spacing w:line="560" w:lineRule="exact"/>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技术负责人</w:t>
            </w:r>
          </w:p>
        </w:tc>
        <w:tc>
          <w:tcPr>
            <w:tcW w:w="1077"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姓名</w:t>
            </w:r>
          </w:p>
        </w:tc>
        <w:tc>
          <w:tcPr>
            <w:tcW w:w="1375"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396"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技术职称</w:t>
            </w:r>
          </w:p>
        </w:tc>
        <w:tc>
          <w:tcPr>
            <w:tcW w:w="1484"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016"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电话</w:t>
            </w:r>
          </w:p>
        </w:tc>
        <w:tc>
          <w:tcPr>
            <w:tcW w:w="1134" w:type="dxa"/>
            <w:noWrap w:val="0"/>
            <w:vAlign w:val="center"/>
          </w:tcPr>
          <w:p>
            <w:pPr>
              <w:kinsoku/>
              <w:overflowPunct/>
              <w:topLinePunct w:val="0"/>
              <w:autoSpaceDE w:val="0"/>
              <w:autoSpaceDN w:val="0"/>
              <w:bidi w:val="0"/>
              <w:adjustRightInd w:val="0"/>
              <w:spacing w:line="560" w:lineRule="exact"/>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成立时间</w:t>
            </w:r>
          </w:p>
        </w:tc>
        <w:tc>
          <w:tcPr>
            <w:tcW w:w="2452"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5030" w:type="dxa"/>
            <w:gridSpan w:val="6"/>
            <w:noWrap w:val="0"/>
            <w:vAlign w:val="center"/>
          </w:tcPr>
          <w:p>
            <w:pPr>
              <w:kinsoku/>
              <w:overflowPunct/>
              <w:topLinePunct w:val="0"/>
              <w:autoSpaceDE w:val="0"/>
              <w:autoSpaceDN w:val="0"/>
              <w:bidi w:val="0"/>
              <w:adjustRightInd w:val="0"/>
              <w:spacing w:line="560" w:lineRule="exact"/>
              <w:rPr>
                <w:rFonts w:ascii="宋体" w:hAnsi="宋体" w:cs="宋体"/>
                <w:kern w:val="0"/>
                <w:sz w:val="24"/>
                <w:szCs w:val="24"/>
              </w:rPr>
            </w:pPr>
            <w:r>
              <w:rPr>
                <w:rFonts w:hint="eastAsia" w:ascii="宋体" w:hAnsi="宋体" w:cs="宋体"/>
                <w:kern w:val="0"/>
                <w:sz w:val="24"/>
                <w:szCs w:val="24"/>
              </w:rPr>
              <w:t>员工总人数：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企业资质等级</w:t>
            </w:r>
          </w:p>
        </w:tc>
        <w:tc>
          <w:tcPr>
            <w:tcW w:w="2452"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396" w:type="dxa"/>
            <w:vMerge w:val="restart"/>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其中</w:t>
            </w:r>
          </w:p>
        </w:tc>
        <w:tc>
          <w:tcPr>
            <w:tcW w:w="1662" w:type="dxa"/>
            <w:gridSpan w:val="3"/>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项目经理</w:t>
            </w:r>
          </w:p>
        </w:tc>
        <w:tc>
          <w:tcPr>
            <w:tcW w:w="1972"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营业执照号</w:t>
            </w:r>
          </w:p>
        </w:tc>
        <w:tc>
          <w:tcPr>
            <w:tcW w:w="2452"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396" w:type="dxa"/>
            <w:vMerge w:val="continue"/>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662" w:type="dxa"/>
            <w:gridSpan w:val="3"/>
            <w:noWrap w:val="0"/>
            <w:vAlign w:val="center"/>
          </w:tcPr>
          <w:p>
            <w:pPr>
              <w:kinsoku/>
              <w:overflowPunct/>
              <w:topLinePunct w:val="0"/>
              <w:autoSpaceDE w:val="0"/>
              <w:autoSpaceDN w:val="0"/>
              <w:bidi w:val="0"/>
              <w:adjustRightInd w:val="0"/>
              <w:spacing w:line="560" w:lineRule="exact"/>
              <w:jc w:val="center"/>
              <w:rPr>
                <w:rFonts w:hint="eastAsia" w:ascii="宋体" w:hAnsi="宋体" w:cs="宋体"/>
                <w:kern w:val="0"/>
                <w:sz w:val="24"/>
                <w:szCs w:val="24"/>
              </w:rPr>
            </w:pPr>
            <w:r>
              <w:rPr>
                <w:rFonts w:hint="eastAsia" w:ascii="宋体" w:hAnsi="宋体" w:cs="宋体"/>
                <w:kern w:val="0"/>
                <w:sz w:val="24"/>
                <w:szCs w:val="24"/>
              </w:rPr>
              <w:t>高级职称人员</w:t>
            </w:r>
          </w:p>
        </w:tc>
        <w:tc>
          <w:tcPr>
            <w:tcW w:w="1972"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注册资金</w:t>
            </w:r>
          </w:p>
        </w:tc>
        <w:tc>
          <w:tcPr>
            <w:tcW w:w="2452"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396" w:type="dxa"/>
            <w:vMerge w:val="continue"/>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662" w:type="dxa"/>
            <w:gridSpan w:val="3"/>
            <w:noWrap w:val="0"/>
            <w:vAlign w:val="center"/>
          </w:tcPr>
          <w:p>
            <w:pPr>
              <w:kinsoku/>
              <w:overflowPunct/>
              <w:topLinePunct w:val="0"/>
              <w:autoSpaceDE w:val="0"/>
              <w:autoSpaceDN w:val="0"/>
              <w:bidi w:val="0"/>
              <w:adjustRightInd w:val="0"/>
              <w:spacing w:line="560" w:lineRule="exact"/>
              <w:jc w:val="center"/>
              <w:rPr>
                <w:rFonts w:hint="eastAsia" w:ascii="宋体" w:hAnsi="宋体" w:cs="宋体"/>
                <w:kern w:val="0"/>
                <w:sz w:val="24"/>
                <w:szCs w:val="24"/>
              </w:rPr>
            </w:pPr>
            <w:r>
              <w:rPr>
                <w:rFonts w:hint="eastAsia" w:ascii="宋体" w:hAnsi="宋体" w:cs="宋体"/>
                <w:kern w:val="0"/>
                <w:sz w:val="24"/>
                <w:szCs w:val="24"/>
              </w:rPr>
              <w:t>中级职称人员</w:t>
            </w:r>
          </w:p>
        </w:tc>
        <w:tc>
          <w:tcPr>
            <w:tcW w:w="1972"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开户银行</w:t>
            </w:r>
          </w:p>
        </w:tc>
        <w:tc>
          <w:tcPr>
            <w:tcW w:w="2452"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396" w:type="dxa"/>
            <w:vMerge w:val="continue"/>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662" w:type="dxa"/>
            <w:gridSpan w:val="3"/>
            <w:noWrap w:val="0"/>
            <w:vAlign w:val="center"/>
          </w:tcPr>
          <w:p>
            <w:pPr>
              <w:kinsoku/>
              <w:overflowPunct/>
              <w:topLinePunct w:val="0"/>
              <w:autoSpaceDE w:val="0"/>
              <w:autoSpaceDN w:val="0"/>
              <w:bidi w:val="0"/>
              <w:adjustRightInd w:val="0"/>
              <w:spacing w:line="560" w:lineRule="exact"/>
              <w:jc w:val="center"/>
              <w:rPr>
                <w:rFonts w:hint="eastAsia" w:ascii="宋体" w:hAnsi="宋体" w:cs="宋体"/>
                <w:kern w:val="0"/>
                <w:sz w:val="24"/>
                <w:szCs w:val="24"/>
              </w:rPr>
            </w:pPr>
            <w:r>
              <w:rPr>
                <w:rFonts w:hint="eastAsia" w:ascii="宋体" w:hAnsi="宋体" w:cs="宋体"/>
                <w:kern w:val="0"/>
                <w:sz w:val="24"/>
                <w:szCs w:val="24"/>
              </w:rPr>
              <w:t>初级职称人员</w:t>
            </w:r>
          </w:p>
        </w:tc>
        <w:tc>
          <w:tcPr>
            <w:tcW w:w="1972"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账号</w:t>
            </w:r>
          </w:p>
        </w:tc>
        <w:tc>
          <w:tcPr>
            <w:tcW w:w="2452"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396" w:type="dxa"/>
            <w:vMerge w:val="continue"/>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p>
        </w:tc>
        <w:tc>
          <w:tcPr>
            <w:tcW w:w="1662" w:type="dxa"/>
            <w:gridSpan w:val="3"/>
            <w:noWrap w:val="0"/>
            <w:vAlign w:val="center"/>
          </w:tcPr>
          <w:p>
            <w:pPr>
              <w:kinsoku/>
              <w:overflowPunct/>
              <w:topLinePunct w:val="0"/>
              <w:autoSpaceDE w:val="0"/>
              <w:autoSpaceDN w:val="0"/>
              <w:bidi w:val="0"/>
              <w:adjustRightInd w:val="0"/>
              <w:spacing w:line="560" w:lineRule="exact"/>
              <w:jc w:val="center"/>
              <w:rPr>
                <w:rFonts w:hint="eastAsia" w:ascii="宋体" w:hAnsi="宋体" w:cs="宋体"/>
                <w:kern w:val="0"/>
                <w:sz w:val="24"/>
                <w:szCs w:val="24"/>
              </w:rPr>
            </w:pPr>
            <w:r>
              <w:rPr>
                <w:rFonts w:hint="eastAsia" w:ascii="宋体" w:hAnsi="宋体" w:cs="宋体"/>
                <w:kern w:val="0"/>
                <w:sz w:val="24"/>
                <w:szCs w:val="24"/>
              </w:rPr>
              <w:t>技工</w:t>
            </w:r>
          </w:p>
        </w:tc>
        <w:tc>
          <w:tcPr>
            <w:tcW w:w="1972" w:type="dxa"/>
            <w:gridSpan w:val="2"/>
            <w:noWrap w:val="0"/>
            <w:vAlign w:val="center"/>
          </w:tcPr>
          <w:p>
            <w:pPr>
              <w:kinsoku/>
              <w:overflowPunct/>
              <w:topLinePunct w:val="0"/>
              <w:autoSpaceDE w:val="0"/>
              <w:autoSpaceDN w:val="0"/>
              <w:bidi w:val="0"/>
              <w:adjustRightInd w:val="0"/>
              <w:spacing w:line="560" w:lineRule="exact"/>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44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经营范围</w:t>
            </w:r>
          </w:p>
        </w:tc>
        <w:tc>
          <w:tcPr>
            <w:tcW w:w="7482" w:type="dxa"/>
            <w:gridSpan w:val="8"/>
            <w:noWrap w:val="0"/>
            <w:vAlign w:val="center"/>
          </w:tcPr>
          <w:p>
            <w:pPr>
              <w:kinsoku/>
              <w:overflowPunct/>
              <w:topLinePunct w:val="0"/>
              <w:autoSpaceDE w:val="0"/>
              <w:autoSpaceDN w:val="0"/>
              <w:bidi w:val="0"/>
              <w:adjustRightInd w:val="0"/>
              <w:spacing w:line="560" w:lineRule="exact"/>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1698" w:type="dxa"/>
            <w:noWrap w:val="0"/>
            <w:vAlign w:val="center"/>
          </w:tcPr>
          <w:p>
            <w:pPr>
              <w:kinsoku/>
              <w:overflowPunct/>
              <w:topLinePunct w:val="0"/>
              <w:autoSpaceDE w:val="0"/>
              <w:autoSpaceDN w:val="0"/>
              <w:bidi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备  注</w:t>
            </w:r>
          </w:p>
        </w:tc>
        <w:tc>
          <w:tcPr>
            <w:tcW w:w="7482" w:type="dxa"/>
            <w:gridSpan w:val="8"/>
            <w:noWrap w:val="0"/>
            <w:vAlign w:val="top"/>
          </w:tcPr>
          <w:p>
            <w:pPr>
              <w:kinsoku/>
              <w:overflowPunct/>
              <w:topLinePunct w:val="0"/>
              <w:autoSpaceDE w:val="0"/>
              <w:autoSpaceDN w:val="0"/>
              <w:bidi w:val="0"/>
              <w:adjustRightInd w:val="0"/>
              <w:spacing w:line="560" w:lineRule="exact"/>
              <w:jc w:val="left"/>
              <w:rPr>
                <w:rFonts w:ascii="宋体" w:hAnsi="宋体" w:cs="宋体"/>
                <w:kern w:val="0"/>
                <w:sz w:val="24"/>
                <w:szCs w:val="24"/>
              </w:rPr>
            </w:pPr>
          </w:p>
        </w:tc>
      </w:tr>
    </w:tbl>
    <w:p>
      <w:pPr>
        <w:kinsoku/>
        <w:overflowPunct/>
        <w:topLinePunct w:val="0"/>
        <w:bidi w:val="0"/>
        <w:spacing w:line="560" w:lineRule="exact"/>
        <w:jc w:val="left"/>
        <w:rPr>
          <w:rFonts w:ascii="宋体" w:hAnsi="宋体"/>
          <w:sz w:val="18"/>
          <w:szCs w:val="18"/>
        </w:rPr>
      </w:pPr>
      <w:r>
        <w:rPr>
          <w:rFonts w:hint="eastAsia" w:ascii="宋体" w:hAnsi="宋体"/>
          <w:sz w:val="18"/>
          <w:szCs w:val="18"/>
        </w:rPr>
        <w:t>注：附营业执照副本等响应人资格要求材料的复印件。</w:t>
      </w:r>
      <w:r>
        <w:rPr>
          <w:rFonts w:ascii="宋体" w:hAnsi="宋体"/>
          <w:sz w:val="18"/>
          <w:szCs w:val="18"/>
        </w:rPr>
        <w:br w:type="page"/>
      </w:r>
    </w:p>
    <w:p>
      <w:pPr>
        <w:pStyle w:val="5"/>
        <w:kinsoku/>
        <w:overflowPunct/>
        <w:topLinePunct w:val="0"/>
        <w:bidi w:val="0"/>
        <w:spacing w:line="560" w:lineRule="exact"/>
        <w:jc w:val="center"/>
        <w:rPr>
          <w:rFonts w:ascii="宋体" w:hAnsi="宋体" w:eastAsia="宋体" w:cs="宋体"/>
          <w:szCs w:val="28"/>
        </w:rPr>
      </w:pPr>
      <w:r>
        <w:rPr>
          <w:rFonts w:hint="eastAsia" w:ascii="宋体" w:hAnsi="宋体" w:eastAsia="宋体" w:cs="宋体"/>
          <w:szCs w:val="28"/>
        </w:rPr>
        <w:t>六、</w:t>
      </w:r>
      <w:bookmarkStart w:id="316" w:name="_Toc325464862"/>
      <w:r>
        <w:rPr>
          <w:rFonts w:hint="eastAsia" w:ascii="宋体" w:hAnsi="宋体" w:eastAsia="宋体" w:cs="宋体"/>
          <w:szCs w:val="28"/>
        </w:rPr>
        <w:t>近</w:t>
      </w:r>
      <w:r>
        <w:rPr>
          <w:rFonts w:hint="eastAsia" w:ascii="宋体" w:hAnsi="宋体" w:eastAsia="宋体" w:cs="宋体"/>
          <w:szCs w:val="28"/>
          <w:u w:val="single"/>
        </w:rPr>
        <w:t xml:space="preserve"> </w:t>
      </w:r>
      <w:r>
        <w:rPr>
          <w:rFonts w:hint="eastAsia" w:ascii="宋体" w:hAnsi="宋体" w:eastAsia="宋体" w:cs="宋体"/>
          <w:szCs w:val="28"/>
          <w:u w:val="single"/>
          <w:lang w:val="en-US" w:eastAsia="zh-CN"/>
        </w:rPr>
        <w:t>3</w:t>
      </w:r>
      <w:r>
        <w:rPr>
          <w:rFonts w:ascii="宋体" w:hAnsi="宋体" w:eastAsia="宋体" w:cs="宋体"/>
          <w:szCs w:val="28"/>
          <w:u w:val="single"/>
        </w:rPr>
        <w:t xml:space="preserve"> </w:t>
      </w:r>
      <w:r>
        <w:rPr>
          <w:rFonts w:hint="eastAsia" w:ascii="宋体" w:hAnsi="宋体" w:eastAsia="宋体" w:cs="宋体"/>
          <w:szCs w:val="28"/>
        </w:rPr>
        <w:t>年经审计的财务报表</w:t>
      </w:r>
    </w:p>
    <w:p>
      <w:pPr>
        <w:pStyle w:val="9"/>
        <w:kinsoku/>
        <w:overflowPunct/>
        <w:topLinePunct w:val="0"/>
        <w:bidi w:val="0"/>
        <w:spacing w:before="120" w:beforeLines="50" w:line="560" w:lineRule="exact"/>
        <w:rPr>
          <w:rFonts w:ascii="宋体" w:hAnsi="宋体"/>
        </w:rPr>
      </w:pPr>
      <w:r>
        <w:rPr>
          <w:rFonts w:hAnsi="宋体"/>
          <w:sz w:val="24"/>
          <w:szCs w:val="24"/>
        </w:rPr>
        <w:t>对财务状况表的要求为：</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kinsoku/>
        <w:overflowPunct/>
        <w:topLinePunct w:val="0"/>
        <w:bidi w:val="0"/>
        <w:spacing w:line="560" w:lineRule="exact"/>
        <w:jc w:val="left"/>
        <w:rPr>
          <w:rFonts w:ascii="宋体" w:hAnsi="宋体"/>
          <w:sz w:val="18"/>
          <w:szCs w:val="18"/>
        </w:rPr>
      </w:pPr>
    </w:p>
    <w:p>
      <w:pPr>
        <w:kinsoku/>
        <w:overflowPunct/>
        <w:topLinePunct w:val="0"/>
        <w:bidi w:val="0"/>
        <w:spacing w:line="560" w:lineRule="exact"/>
        <w:jc w:val="left"/>
        <w:rPr>
          <w:rFonts w:ascii="宋体" w:hAnsi="宋体"/>
          <w:sz w:val="18"/>
          <w:szCs w:val="18"/>
        </w:rPr>
      </w:pPr>
      <w:r>
        <w:rPr>
          <w:rFonts w:ascii="宋体" w:hAnsi="宋体"/>
          <w:sz w:val="18"/>
          <w:szCs w:val="18"/>
        </w:rPr>
        <w:t xml:space="preserve">注： </w:t>
      </w:r>
    </w:p>
    <w:p>
      <w:pPr>
        <w:kinsoku/>
        <w:overflowPunct/>
        <w:topLinePunct w:val="0"/>
        <w:bidi w:val="0"/>
        <w:spacing w:line="560" w:lineRule="exact"/>
        <w:jc w:val="left"/>
        <w:rPr>
          <w:rFonts w:ascii="宋体" w:hAnsi="宋体"/>
          <w:sz w:val="18"/>
          <w:szCs w:val="18"/>
        </w:rPr>
      </w:pPr>
      <w:r>
        <w:rPr>
          <w:rFonts w:ascii="宋体" w:hAnsi="宋体"/>
          <w:sz w:val="18"/>
          <w:szCs w:val="18"/>
        </w:rPr>
        <w:t>（1）财务状况表应附包括资产负债表、现金流量表、利润表和财务情况说明书（或附注）的复印件。</w:t>
      </w:r>
    </w:p>
    <w:p>
      <w:pPr>
        <w:kinsoku/>
        <w:overflowPunct/>
        <w:topLinePunct w:val="0"/>
        <w:bidi w:val="0"/>
        <w:spacing w:line="560" w:lineRule="exact"/>
        <w:jc w:val="left"/>
        <w:rPr>
          <w:rFonts w:ascii="宋体" w:hAnsi="宋体"/>
          <w:sz w:val="18"/>
          <w:szCs w:val="18"/>
        </w:rPr>
      </w:pPr>
      <w:r>
        <w:rPr>
          <w:rFonts w:ascii="宋体" w:hAnsi="宋体"/>
          <w:sz w:val="18"/>
          <w:szCs w:val="18"/>
        </w:rPr>
        <w:t>（</w:t>
      </w:r>
      <w:r>
        <w:rPr>
          <w:rFonts w:hint="eastAsia" w:ascii="宋体" w:hAnsi="宋体"/>
          <w:sz w:val="18"/>
          <w:szCs w:val="18"/>
        </w:rPr>
        <w:t>2</w:t>
      </w:r>
      <w:r>
        <w:rPr>
          <w:rFonts w:ascii="宋体" w:hAnsi="宋体"/>
          <w:sz w:val="18"/>
          <w:szCs w:val="18"/>
        </w:rPr>
        <w:t>）新成立企业不满足</w:t>
      </w:r>
      <w:r>
        <w:rPr>
          <w:rFonts w:hint="eastAsia" w:ascii="宋体" w:hAnsi="宋体"/>
          <w:sz w:val="18"/>
          <w:szCs w:val="18"/>
        </w:rPr>
        <w:t>采购</w:t>
      </w:r>
      <w:r>
        <w:rPr>
          <w:rFonts w:ascii="宋体" w:hAnsi="宋体"/>
          <w:sz w:val="18"/>
          <w:szCs w:val="18"/>
        </w:rPr>
        <w:t>人年度要求的，</w:t>
      </w:r>
      <w:r>
        <w:rPr>
          <w:rFonts w:hint="eastAsia" w:ascii="宋体" w:hAnsi="宋体"/>
          <w:sz w:val="18"/>
          <w:szCs w:val="18"/>
        </w:rPr>
        <w:t>响应</w:t>
      </w:r>
      <w:r>
        <w:rPr>
          <w:rFonts w:ascii="宋体" w:hAnsi="宋体"/>
          <w:sz w:val="18"/>
          <w:szCs w:val="18"/>
        </w:rPr>
        <w:t>人只提供成立后的资料。</w:t>
      </w:r>
    </w:p>
    <w:p>
      <w:pPr>
        <w:kinsoku/>
        <w:overflowPunct/>
        <w:topLinePunct w:val="0"/>
        <w:bidi w:val="0"/>
        <w:spacing w:line="560" w:lineRule="exact"/>
        <w:jc w:val="left"/>
        <w:rPr>
          <w:rFonts w:ascii="宋体" w:hAnsi="宋体"/>
          <w:sz w:val="18"/>
          <w:szCs w:val="18"/>
          <w:lang w:val="en-US" w:eastAsia="zh-CN"/>
        </w:rPr>
      </w:pPr>
      <w:r>
        <w:rPr>
          <w:rFonts w:hint="eastAsia" w:ascii="宋体" w:hAnsi="宋体"/>
          <w:sz w:val="18"/>
          <w:szCs w:val="18"/>
          <w:lang w:val="en-US" w:eastAsia="zh-CN"/>
        </w:rPr>
        <w:t>（3）如不能提供经审计的财务报表，则提供财务会计制度健全、财务状况良好的承诺。</w:t>
      </w:r>
    </w:p>
    <w:p>
      <w:pPr>
        <w:widowControl/>
        <w:kinsoku/>
        <w:overflowPunct/>
        <w:topLinePunct w:val="0"/>
        <w:bidi w:val="0"/>
        <w:spacing w:line="560" w:lineRule="exact"/>
        <w:jc w:val="left"/>
        <w:rPr>
          <w:rFonts w:ascii="宋体" w:hAnsi="宋体"/>
        </w:rPr>
      </w:pPr>
      <w:r>
        <w:rPr>
          <w:rFonts w:ascii="宋体" w:hAnsi="宋体"/>
        </w:rPr>
        <w:br w:type="page"/>
      </w:r>
    </w:p>
    <w:p>
      <w:pPr>
        <w:pStyle w:val="5"/>
        <w:kinsoku/>
        <w:overflowPunct/>
        <w:topLinePunct w:val="0"/>
        <w:bidi w:val="0"/>
        <w:spacing w:line="560" w:lineRule="exact"/>
        <w:jc w:val="center"/>
        <w:rPr>
          <w:rFonts w:ascii="宋体" w:hAnsi="宋体" w:eastAsia="宋体" w:cs="宋体"/>
          <w:kern w:val="0"/>
          <w:szCs w:val="28"/>
        </w:rPr>
      </w:pPr>
      <w:r>
        <w:rPr>
          <w:rFonts w:hint="eastAsia" w:ascii="宋体" w:hAnsi="宋体" w:eastAsia="宋体" w:cs="宋体"/>
          <w:szCs w:val="28"/>
        </w:rPr>
        <w:t>七、</w:t>
      </w:r>
      <w:r>
        <w:rPr>
          <w:rFonts w:hint="eastAsia" w:ascii="宋体" w:hAnsi="宋体" w:eastAsia="宋体" w:cs="宋体"/>
          <w:kern w:val="0"/>
          <w:szCs w:val="28"/>
        </w:rPr>
        <w:t>近</w:t>
      </w:r>
      <w:r>
        <w:rPr>
          <w:rFonts w:hint="eastAsia" w:ascii="宋体" w:hAnsi="宋体" w:eastAsia="宋体" w:cs="宋体"/>
          <w:kern w:val="0"/>
          <w:szCs w:val="28"/>
          <w:u w:val="single"/>
        </w:rPr>
        <w:t xml:space="preserve"> </w:t>
      </w:r>
      <w:r>
        <w:rPr>
          <w:rFonts w:ascii="宋体" w:hAnsi="宋体" w:eastAsia="宋体" w:cs="宋体"/>
          <w:kern w:val="0"/>
          <w:szCs w:val="28"/>
          <w:u w:val="single"/>
        </w:rPr>
        <w:t xml:space="preserve"> </w:t>
      </w:r>
      <w:r>
        <w:rPr>
          <w:rFonts w:hint="eastAsia" w:ascii="宋体" w:hAnsi="宋体" w:eastAsia="宋体" w:cs="宋体"/>
          <w:kern w:val="0"/>
          <w:szCs w:val="28"/>
        </w:rPr>
        <w:t>年以来承担同类项目业绩一览表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88"/>
        <w:gridCol w:w="1340"/>
        <w:gridCol w:w="1591"/>
        <w:gridCol w:w="1591"/>
        <w:gridCol w:w="1404"/>
        <w:gridCol w:w="132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88" w:type="dxa"/>
            <w:shd w:val="clear" w:color="auto" w:fill="FFFFFF"/>
            <w:noWrap w:val="0"/>
            <w:vAlign w:val="center"/>
          </w:tcPr>
          <w:p>
            <w:pPr>
              <w:kinsoku/>
              <w:overflowPunct/>
              <w:topLinePunct w:val="0"/>
              <w:bidi w:val="0"/>
              <w:spacing w:line="560" w:lineRule="exact"/>
              <w:jc w:val="center"/>
              <w:rPr>
                <w:rFonts w:ascii="宋体" w:hAnsi="宋体"/>
                <w:sz w:val="24"/>
                <w:szCs w:val="24"/>
              </w:rPr>
            </w:pPr>
            <w:r>
              <w:rPr>
                <w:rFonts w:hint="eastAsia" w:ascii="宋体" w:hAnsi="宋体"/>
                <w:sz w:val="24"/>
                <w:szCs w:val="24"/>
              </w:rPr>
              <w:t>序号</w:t>
            </w:r>
          </w:p>
        </w:tc>
        <w:tc>
          <w:tcPr>
            <w:tcW w:w="1340" w:type="dxa"/>
            <w:shd w:val="clear" w:color="auto" w:fill="FFFFFF"/>
            <w:noWrap w:val="0"/>
            <w:vAlign w:val="center"/>
          </w:tcPr>
          <w:p>
            <w:pPr>
              <w:kinsoku/>
              <w:overflowPunct/>
              <w:topLinePunct w:val="0"/>
              <w:bidi w:val="0"/>
              <w:spacing w:line="560" w:lineRule="exact"/>
              <w:jc w:val="center"/>
              <w:rPr>
                <w:rFonts w:ascii="宋体" w:hAnsi="宋体"/>
                <w:sz w:val="24"/>
                <w:szCs w:val="24"/>
              </w:rPr>
            </w:pPr>
            <w:r>
              <w:rPr>
                <w:rFonts w:hint="eastAsia" w:ascii="宋体" w:hAnsi="宋体"/>
                <w:sz w:val="24"/>
                <w:szCs w:val="24"/>
              </w:rPr>
              <w:t>业主名称</w:t>
            </w:r>
          </w:p>
        </w:tc>
        <w:tc>
          <w:tcPr>
            <w:tcW w:w="1591" w:type="dxa"/>
            <w:shd w:val="clear" w:color="auto" w:fill="FFFFFF"/>
            <w:noWrap w:val="0"/>
            <w:vAlign w:val="center"/>
          </w:tcPr>
          <w:p>
            <w:pPr>
              <w:kinsoku/>
              <w:overflowPunct/>
              <w:topLinePunct w:val="0"/>
              <w:bidi w:val="0"/>
              <w:spacing w:line="560" w:lineRule="exact"/>
              <w:jc w:val="center"/>
              <w:rPr>
                <w:rFonts w:ascii="宋体" w:hAnsi="宋体"/>
                <w:sz w:val="24"/>
                <w:szCs w:val="24"/>
              </w:rPr>
            </w:pPr>
            <w:r>
              <w:rPr>
                <w:rFonts w:hint="eastAsia" w:ascii="宋体" w:hAnsi="宋体"/>
                <w:sz w:val="24"/>
                <w:szCs w:val="24"/>
              </w:rPr>
              <w:t>项目名称</w:t>
            </w:r>
          </w:p>
        </w:tc>
        <w:tc>
          <w:tcPr>
            <w:tcW w:w="1591" w:type="dxa"/>
            <w:shd w:val="clear" w:color="auto" w:fill="FFFFFF"/>
            <w:noWrap w:val="0"/>
            <w:vAlign w:val="center"/>
          </w:tcPr>
          <w:p>
            <w:pPr>
              <w:kinsoku/>
              <w:overflowPunct/>
              <w:topLinePunct w:val="0"/>
              <w:bidi w:val="0"/>
              <w:spacing w:line="560" w:lineRule="exact"/>
              <w:jc w:val="center"/>
              <w:rPr>
                <w:rFonts w:ascii="宋体" w:hAnsi="宋体"/>
                <w:sz w:val="24"/>
                <w:szCs w:val="24"/>
              </w:rPr>
            </w:pPr>
            <w:r>
              <w:rPr>
                <w:rFonts w:hint="eastAsia" w:ascii="宋体" w:hAnsi="宋体"/>
                <w:sz w:val="24"/>
                <w:szCs w:val="24"/>
              </w:rPr>
              <w:t>合同内容</w:t>
            </w:r>
          </w:p>
        </w:tc>
        <w:tc>
          <w:tcPr>
            <w:tcW w:w="1404" w:type="dxa"/>
            <w:shd w:val="clear" w:color="auto" w:fill="FFFFFF"/>
            <w:noWrap w:val="0"/>
            <w:vAlign w:val="center"/>
          </w:tcPr>
          <w:p>
            <w:pPr>
              <w:kinsoku/>
              <w:overflowPunct/>
              <w:topLinePunct w:val="0"/>
              <w:bidi w:val="0"/>
              <w:spacing w:line="560" w:lineRule="exact"/>
              <w:jc w:val="center"/>
              <w:rPr>
                <w:rFonts w:ascii="宋体" w:hAnsi="宋体"/>
                <w:sz w:val="24"/>
                <w:szCs w:val="24"/>
              </w:rPr>
            </w:pPr>
            <w:r>
              <w:rPr>
                <w:rFonts w:hint="eastAsia" w:ascii="宋体" w:hAnsi="宋体"/>
                <w:sz w:val="24"/>
                <w:szCs w:val="24"/>
              </w:rPr>
              <w:t>合同总价</w:t>
            </w:r>
          </w:p>
        </w:tc>
        <w:tc>
          <w:tcPr>
            <w:tcW w:w="1321" w:type="dxa"/>
            <w:shd w:val="clear" w:color="auto" w:fill="FFFFFF"/>
            <w:noWrap w:val="0"/>
            <w:vAlign w:val="center"/>
          </w:tcPr>
          <w:p>
            <w:pPr>
              <w:kinsoku/>
              <w:overflowPunct/>
              <w:topLinePunct w:val="0"/>
              <w:bidi w:val="0"/>
              <w:spacing w:line="560" w:lineRule="exact"/>
              <w:jc w:val="center"/>
              <w:rPr>
                <w:rFonts w:ascii="宋体" w:hAnsi="宋体"/>
                <w:sz w:val="24"/>
                <w:szCs w:val="24"/>
              </w:rPr>
            </w:pPr>
            <w:r>
              <w:rPr>
                <w:rFonts w:hint="eastAsia" w:ascii="宋体" w:hAnsi="宋体"/>
                <w:sz w:val="24"/>
                <w:szCs w:val="24"/>
              </w:rPr>
              <w:t>完成时间</w:t>
            </w:r>
          </w:p>
        </w:tc>
        <w:tc>
          <w:tcPr>
            <w:tcW w:w="1238" w:type="dxa"/>
            <w:shd w:val="clear" w:color="auto" w:fill="FFFFFF"/>
            <w:noWrap w:val="0"/>
            <w:vAlign w:val="center"/>
          </w:tcPr>
          <w:p>
            <w:pPr>
              <w:kinsoku/>
              <w:overflowPunct/>
              <w:topLinePunct w:val="0"/>
              <w:bidi w:val="0"/>
              <w:spacing w:line="560" w:lineRule="exact"/>
              <w:jc w:val="center"/>
              <w:rPr>
                <w:rFonts w:ascii="宋体" w:hAnsi="宋体"/>
                <w:sz w:val="24"/>
                <w:szCs w:val="24"/>
              </w:rPr>
            </w:pPr>
            <w:r>
              <w:rPr>
                <w:rFonts w:hint="eastAsia" w:ascii="宋体" w:hAnsi="宋体"/>
                <w:sz w:val="24"/>
                <w:szCs w:val="24"/>
              </w:rPr>
              <w:t>业主单位联系电话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9" w:hRule="atLeast"/>
          <w:jc w:val="center"/>
        </w:trPr>
        <w:tc>
          <w:tcPr>
            <w:tcW w:w="588" w:type="dxa"/>
            <w:shd w:val="clear" w:color="auto" w:fill="FFFFFF"/>
            <w:noWrap w:val="0"/>
            <w:vAlign w:val="center"/>
          </w:tcPr>
          <w:p>
            <w:pPr>
              <w:kinsoku/>
              <w:overflowPunct/>
              <w:topLinePunct w:val="0"/>
              <w:bidi w:val="0"/>
              <w:spacing w:line="560" w:lineRule="exact"/>
              <w:jc w:val="center"/>
              <w:rPr>
                <w:rFonts w:ascii="宋体" w:hAnsi="宋体"/>
                <w:sz w:val="24"/>
                <w:szCs w:val="24"/>
              </w:rPr>
            </w:pPr>
          </w:p>
        </w:tc>
        <w:tc>
          <w:tcPr>
            <w:tcW w:w="1340" w:type="dxa"/>
            <w:shd w:val="clear" w:color="auto" w:fill="FFFFFF"/>
            <w:noWrap w:val="0"/>
            <w:vAlign w:val="center"/>
          </w:tcPr>
          <w:p>
            <w:pPr>
              <w:pStyle w:val="10"/>
              <w:kinsoku/>
              <w:overflowPunct/>
              <w:topLinePunct w:val="0"/>
              <w:bidi w:val="0"/>
              <w:spacing w:line="560" w:lineRule="exact"/>
              <w:ind w:left="5250"/>
              <w:rPr>
                <w:rFonts w:ascii="宋体" w:hAnsi="宋体" w:eastAsia="宋体"/>
                <w:sz w:val="24"/>
                <w:szCs w:val="24"/>
                <w:lang w:val="en-US" w:eastAsia="zh-CN"/>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404"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32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238" w:type="dxa"/>
            <w:shd w:val="clear" w:color="auto" w:fill="FFFFFF"/>
            <w:noWrap w:val="0"/>
            <w:vAlign w:val="center"/>
          </w:tcPr>
          <w:p>
            <w:pPr>
              <w:kinsoku/>
              <w:overflowPunct/>
              <w:topLinePunct w:val="0"/>
              <w:bidi w:val="0"/>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9" w:hRule="atLeast"/>
          <w:jc w:val="center"/>
        </w:trPr>
        <w:tc>
          <w:tcPr>
            <w:tcW w:w="588" w:type="dxa"/>
            <w:shd w:val="clear" w:color="auto" w:fill="FFFFFF"/>
            <w:noWrap w:val="0"/>
            <w:vAlign w:val="center"/>
          </w:tcPr>
          <w:p>
            <w:pPr>
              <w:kinsoku/>
              <w:overflowPunct/>
              <w:topLinePunct w:val="0"/>
              <w:bidi w:val="0"/>
              <w:spacing w:line="560" w:lineRule="exact"/>
              <w:jc w:val="center"/>
              <w:rPr>
                <w:rFonts w:ascii="宋体" w:hAnsi="宋体"/>
                <w:sz w:val="24"/>
                <w:szCs w:val="24"/>
              </w:rPr>
            </w:pPr>
          </w:p>
        </w:tc>
        <w:tc>
          <w:tcPr>
            <w:tcW w:w="1340"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404"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32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238" w:type="dxa"/>
            <w:shd w:val="clear" w:color="auto" w:fill="FFFFFF"/>
            <w:noWrap w:val="0"/>
            <w:vAlign w:val="center"/>
          </w:tcPr>
          <w:p>
            <w:pPr>
              <w:kinsoku/>
              <w:overflowPunct/>
              <w:topLinePunct w:val="0"/>
              <w:bidi w:val="0"/>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9" w:hRule="atLeast"/>
          <w:jc w:val="center"/>
        </w:trPr>
        <w:tc>
          <w:tcPr>
            <w:tcW w:w="588" w:type="dxa"/>
            <w:shd w:val="clear" w:color="auto" w:fill="FFFFFF"/>
            <w:noWrap w:val="0"/>
            <w:vAlign w:val="center"/>
          </w:tcPr>
          <w:p>
            <w:pPr>
              <w:kinsoku/>
              <w:overflowPunct/>
              <w:topLinePunct w:val="0"/>
              <w:bidi w:val="0"/>
              <w:spacing w:line="560" w:lineRule="exact"/>
              <w:jc w:val="center"/>
              <w:rPr>
                <w:rFonts w:ascii="宋体" w:hAnsi="宋体"/>
                <w:sz w:val="24"/>
                <w:szCs w:val="24"/>
              </w:rPr>
            </w:pPr>
          </w:p>
        </w:tc>
        <w:tc>
          <w:tcPr>
            <w:tcW w:w="1340"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404"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32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238" w:type="dxa"/>
            <w:shd w:val="clear" w:color="auto" w:fill="FFFFFF"/>
            <w:noWrap w:val="0"/>
            <w:vAlign w:val="center"/>
          </w:tcPr>
          <w:p>
            <w:pPr>
              <w:kinsoku/>
              <w:overflowPunct/>
              <w:topLinePunct w:val="0"/>
              <w:bidi w:val="0"/>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9" w:hRule="atLeast"/>
          <w:jc w:val="center"/>
        </w:trPr>
        <w:tc>
          <w:tcPr>
            <w:tcW w:w="588" w:type="dxa"/>
            <w:shd w:val="clear" w:color="auto" w:fill="FFFFFF"/>
            <w:noWrap w:val="0"/>
            <w:vAlign w:val="center"/>
          </w:tcPr>
          <w:p>
            <w:pPr>
              <w:kinsoku/>
              <w:overflowPunct/>
              <w:topLinePunct w:val="0"/>
              <w:bidi w:val="0"/>
              <w:spacing w:line="560" w:lineRule="exact"/>
              <w:jc w:val="center"/>
              <w:rPr>
                <w:rFonts w:ascii="宋体" w:hAnsi="宋体"/>
                <w:sz w:val="24"/>
                <w:szCs w:val="24"/>
              </w:rPr>
            </w:pPr>
          </w:p>
        </w:tc>
        <w:tc>
          <w:tcPr>
            <w:tcW w:w="1340"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404"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32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238" w:type="dxa"/>
            <w:shd w:val="clear" w:color="auto" w:fill="FFFFFF"/>
            <w:noWrap w:val="0"/>
            <w:vAlign w:val="center"/>
          </w:tcPr>
          <w:p>
            <w:pPr>
              <w:kinsoku/>
              <w:overflowPunct/>
              <w:topLinePunct w:val="0"/>
              <w:bidi w:val="0"/>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9" w:hRule="atLeast"/>
          <w:jc w:val="center"/>
        </w:trPr>
        <w:tc>
          <w:tcPr>
            <w:tcW w:w="588" w:type="dxa"/>
            <w:shd w:val="clear" w:color="auto" w:fill="FFFFFF"/>
            <w:noWrap w:val="0"/>
            <w:vAlign w:val="center"/>
          </w:tcPr>
          <w:p>
            <w:pPr>
              <w:kinsoku/>
              <w:overflowPunct/>
              <w:topLinePunct w:val="0"/>
              <w:bidi w:val="0"/>
              <w:spacing w:line="560" w:lineRule="exact"/>
              <w:jc w:val="center"/>
              <w:rPr>
                <w:rFonts w:ascii="宋体" w:hAnsi="宋体"/>
                <w:sz w:val="24"/>
                <w:szCs w:val="24"/>
              </w:rPr>
            </w:pPr>
          </w:p>
        </w:tc>
        <w:tc>
          <w:tcPr>
            <w:tcW w:w="1340"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404"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32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238" w:type="dxa"/>
            <w:shd w:val="clear" w:color="auto" w:fill="FFFFFF"/>
            <w:noWrap w:val="0"/>
            <w:vAlign w:val="center"/>
          </w:tcPr>
          <w:p>
            <w:pPr>
              <w:kinsoku/>
              <w:overflowPunct/>
              <w:topLinePunct w:val="0"/>
              <w:bidi w:val="0"/>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9" w:hRule="atLeast"/>
          <w:jc w:val="center"/>
        </w:trPr>
        <w:tc>
          <w:tcPr>
            <w:tcW w:w="588" w:type="dxa"/>
            <w:shd w:val="clear" w:color="auto" w:fill="FFFFFF"/>
            <w:noWrap w:val="0"/>
            <w:vAlign w:val="center"/>
          </w:tcPr>
          <w:p>
            <w:pPr>
              <w:kinsoku/>
              <w:overflowPunct/>
              <w:topLinePunct w:val="0"/>
              <w:bidi w:val="0"/>
              <w:spacing w:line="560" w:lineRule="exact"/>
              <w:jc w:val="center"/>
              <w:rPr>
                <w:rFonts w:ascii="宋体" w:hAnsi="宋体"/>
                <w:sz w:val="24"/>
                <w:szCs w:val="24"/>
              </w:rPr>
            </w:pPr>
          </w:p>
        </w:tc>
        <w:tc>
          <w:tcPr>
            <w:tcW w:w="1340"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404"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32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238" w:type="dxa"/>
            <w:shd w:val="clear" w:color="auto" w:fill="FFFFFF"/>
            <w:noWrap w:val="0"/>
            <w:vAlign w:val="center"/>
          </w:tcPr>
          <w:p>
            <w:pPr>
              <w:kinsoku/>
              <w:overflowPunct/>
              <w:topLinePunct w:val="0"/>
              <w:bidi w:val="0"/>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9" w:hRule="atLeast"/>
          <w:jc w:val="center"/>
        </w:trPr>
        <w:tc>
          <w:tcPr>
            <w:tcW w:w="588" w:type="dxa"/>
            <w:shd w:val="clear" w:color="auto" w:fill="FFFFFF"/>
            <w:noWrap w:val="0"/>
            <w:vAlign w:val="center"/>
          </w:tcPr>
          <w:p>
            <w:pPr>
              <w:kinsoku/>
              <w:overflowPunct/>
              <w:topLinePunct w:val="0"/>
              <w:bidi w:val="0"/>
              <w:spacing w:line="560" w:lineRule="exact"/>
              <w:jc w:val="center"/>
              <w:rPr>
                <w:rFonts w:ascii="宋体" w:hAnsi="宋体"/>
                <w:sz w:val="24"/>
                <w:szCs w:val="24"/>
              </w:rPr>
            </w:pPr>
          </w:p>
        </w:tc>
        <w:tc>
          <w:tcPr>
            <w:tcW w:w="1340"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59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404"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321" w:type="dxa"/>
            <w:shd w:val="clear" w:color="auto" w:fill="FFFFFF"/>
            <w:noWrap w:val="0"/>
            <w:vAlign w:val="center"/>
          </w:tcPr>
          <w:p>
            <w:pPr>
              <w:kinsoku/>
              <w:overflowPunct/>
              <w:topLinePunct w:val="0"/>
              <w:bidi w:val="0"/>
              <w:spacing w:line="560" w:lineRule="exact"/>
              <w:rPr>
                <w:rFonts w:ascii="宋体" w:hAnsi="宋体"/>
                <w:sz w:val="24"/>
                <w:szCs w:val="24"/>
              </w:rPr>
            </w:pPr>
          </w:p>
        </w:tc>
        <w:tc>
          <w:tcPr>
            <w:tcW w:w="1238" w:type="dxa"/>
            <w:shd w:val="clear" w:color="auto" w:fill="FFFFFF"/>
            <w:noWrap w:val="0"/>
            <w:vAlign w:val="center"/>
          </w:tcPr>
          <w:p>
            <w:pPr>
              <w:kinsoku/>
              <w:overflowPunct/>
              <w:topLinePunct w:val="0"/>
              <w:bidi w:val="0"/>
              <w:spacing w:line="560" w:lineRule="exact"/>
              <w:rPr>
                <w:rFonts w:ascii="宋体" w:hAnsi="宋体"/>
                <w:sz w:val="24"/>
                <w:szCs w:val="24"/>
              </w:rPr>
            </w:pPr>
          </w:p>
        </w:tc>
      </w:tr>
    </w:tbl>
    <w:p>
      <w:pPr>
        <w:kinsoku/>
        <w:overflowPunct/>
        <w:topLinePunct w:val="0"/>
        <w:bidi w:val="0"/>
        <w:spacing w:line="560" w:lineRule="exact"/>
        <w:jc w:val="left"/>
        <w:rPr>
          <w:rFonts w:hint="eastAsia" w:ascii="宋体" w:hAnsi="宋体"/>
          <w:sz w:val="18"/>
          <w:szCs w:val="18"/>
          <w:lang w:val="en-US" w:eastAsia="zh-CN"/>
        </w:rPr>
      </w:pPr>
      <w:r>
        <w:rPr>
          <w:rFonts w:hint="eastAsia" w:ascii="宋体" w:hAnsi="宋体"/>
          <w:sz w:val="18"/>
          <w:szCs w:val="18"/>
        </w:rPr>
        <w:t>注：</w:t>
      </w:r>
      <w:r>
        <w:rPr>
          <w:rFonts w:hint="eastAsia" w:ascii="宋体" w:hAnsi="宋体"/>
          <w:sz w:val="18"/>
          <w:szCs w:val="18"/>
          <w:lang w:val="en-US" w:eastAsia="zh-CN"/>
        </w:rPr>
        <w:t xml:space="preserve"> 1.同类项目：（进行定义）   </w:t>
      </w:r>
    </w:p>
    <w:p>
      <w:pPr>
        <w:kinsoku/>
        <w:overflowPunct/>
        <w:topLinePunct w:val="0"/>
        <w:bidi w:val="0"/>
        <w:spacing w:line="560" w:lineRule="exact"/>
        <w:ind w:firstLine="360" w:firstLineChars="200"/>
        <w:jc w:val="left"/>
        <w:rPr>
          <w:rFonts w:hint="default" w:ascii="宋体" w:hAnsi="宋体" w:eastAsia="宋体"/>
          <w:sz w:val="18"/>
          <w:szCs w:val="18"/>
          <w:lang w:val="en-US" w:eastAsia="zh-CN"/>
        </w:rPr>
      </w:pPr>
      <w:r>
        <w:rPr>
          <w:rFonts w:hint="eastAsia" w:ascii="宋体" w:hAnsi="宋体"/>
          <w:sz w:val="18"/>
          <w:szCs w:val="18"/>
          <w:lang w:val="en-US" w:eastAsia="zh-CN"/>
        </w:rPr>
        <w:t xml:space="preserve"> 2.请提供单项金额20万元及以上类似采购合同2-3份。</w:t>
      </w:r>
    </w:p>
    <w:p>
      <w:pPr>
        <w:pStyle w:val="5"/>
        <w:kinsoku/>
        <w:overflowPunct/>
        <w:topLinePunct w:val="0"/>
        <w:bidi w:val="0"/>
        <w:spacing w:line="560" w:lineRule="exact"/>
        <w:jc w:val="center"/>
        <w:rPr>
          <w:rFonts w:hint="eastAsia" w:ascii="宋体" w:hAnsi="宋体" w:eastAsia="宋体" w:cs="宋体"/>
          <w:szCs w:val="28"/>
        </w:rPr>
      </w:pPr>
      <w:r>
        <w:rPr>
          <w:rFonts w:hint="eastAsia" w:ascii="宋体" w:hAnsi="宋体" w:eastAsia="宋体" w:cs="宋体"/>
          <w:szCs w:val="28"/>
          <w:lang w:eastAsia="zh-CN"/>
        </w:rPr>
        <w:t>八</w:t>
      </w:r>
      <w:r>
        <w:rPr>
          <w:rFonts w:ascii="宋体" w:hAnsi="宋体" w:eastAsia="宋体" w:cs="宋体"/>
          <w:szCs w:val="28"/>
        </w:rPr>
        <w:t>、</w:t>
      </w:r>
      <w:r>
        <w:rPr>
          <w:rFonts w:hint="eastAsia" w:ascii="宋体" w:hAnsi="宋体" w:eastAsia="宋体" w:cs="宋体"/>
          <w:szCs w:val="28"/>
          <w:lang w:eastAsia="zh-CN"/>
        </w:rPr>
        <w:t>设计</w:t>
      </w:r>
      <w:r>
        <w:rPr>
          <w:rFonts w:hint="eastAsia" w:ascii="宋体" w:hAnsi="宋体" w:eastAsia="宋体" w:cs="宋体"/>
          <w:szCs w:val="28"/>
        </w:rPr>
        <w:t>方案</w:t>
      </w:r>
    </w:p>
    <w:p>
      <w:pPr>
        <w:pStyle w:val="7"/>
        <w:kinsoku/>
        <w:overflowPunct/>
        <w:topLinePunct w:val="0"/>
        <w:bidi w:val="0"/>
        <w:spacing w:line="560" w:lineRule="exact"/>
        <w:jc w:val="center"/>
        <w:rPr>
          <w:sz w:val="24"/>
          <w:szCs w:val="24"/>
        </w:rPr>
      </w:pPr>
      <w:r>
        <w:rPr>
          <w:rFonts w:hint="eastAsia"/>
          <w:sz w:val="24"/>
          <w:szCs w:val="24"/>
        </w:rPr>
        <w:t>（响应人自行编制）</w:t>
      </w:r>
    </w:p>
    <w:p>
      <w:pPr>
        <w:rPr>
          <w:rFonts w:ascii="宋体" w:hAnsi="宋体" w:cs="宋体"/>
        </w:rPr>
      </w:pPr>
      <w:r>
        <w:rPr>
          <w:rFonts w:ascii="宋体" w:hAnsi="宋体" w:cs="宋体"/>
        </w:rPr>
        <w:br w:type="page"/>
      </w:r>
    </w:p>
    <w:p>
      <w:pPr>
        <w:pStyle w:val="5"/>
        <w:pageBreakBefore w:val="0"/>
        <w:widowControl w:val="0"/>
        <w:kinsoku/>
        <w:wordWrap/>
        <w:overflowPunct/>
        <w:topLinePunct w:val="0"/>
        <w:autoSpaceDE/>
        <w:autoSpaceDN/>
        <w:bidi w:val="0"/>
        <w:adjustRightInd/>
        <w:snapToGrid/>
        <w:spacing w:before="0" w:after="0" w:line="480" w:lineRule="exact"/>
        <w:ind w:left="0"/>
        <w:jc w:val="center"/>
        <w:textAlignment w:val="auto"/>
        <w:rPr>
          <w:rFonts w:hint="eastAsia" w:ascii="宋体" w:hAnsi="宋体" w:eastAsia="宋体" w:cs="宋体"/>
          <w:szCs w:val="28"/>
          <w:lang w:eastAsia="zh-CN"/>
        </w:rPr>
      </w:pPr>
      <w:r>
        <w:rPr>
          <w:rFonts w:hint="eastAsia" w:ascii="宋体" w:hAnsi="宋体" w:eastAsia="宋体" w:cs="宋体"/>
          <w:szCs w:val="28"/>
          <w:lang w:eastAsia="zh-CN"/>
        </w:rPr>
        <w:t>九、廉洁承诺函</w:t>
      </w:r>
    </w:p>
    <w:p>
      <w:pPr>
        <w:pStyle w:val="11"/>
        <w:pageBreakBefore w:val="0"/>
        <w:widowControl w:val="0"/>
        <w:kinsoku/>
        <w:wordWrap/>
        <w:overflowPunct/>
        <w:topLinePunct w:val="0"/>
        <w:autoSpaceDE/>
        <w:autoSpaceDN/>
        <w:bidi w:val="0"/>
        <w:adjustRightInd/>
        <w:snapToGrid/>
        <w:spacing w:line="480" w:lineRule="exact"/>
        <w:ind w:left="0" w:firstLine="0"/>
        <w:textAlignment w:val="auto"/>
        <w:rPr>
          <w:rFonts w:ascii="宋体" w:hAnsi="宋体" w:cs="宋体"/>
          <w:sz w:val="24"/>
        </w:rPr>
      </w:pPr>
      <w:r>
        <w:rPr>
          <w:rFonts w:hint="eastAsia" w:ascii="宋体" w:hAnsi="宋体" w:cs="宋体"/>
          <w:sz w:val="24"/>
          <w:lang w:eastAsia="zh-CN"/>
        </w:rPr>
        <w:t>（致）</w:t>
      </w:r>
      <w:r>
        <w:rPr>
          <w:rFonts w:hint="eastAsia" w:ascii="宋体" w:hAnsi="宋体" w:cs="宋体"/>
          <w:sz w:val="24"/>
        </w:rPr>
        <w:t>：</w:t>
      </w:r>
      <w:r>
        <w:rPr>
          <w:rFonts w:hint="eastAsia" w:ascii="宋体" w:hAnsi="宋体"/>
          <w:sz w:val="24"/>
          <w:u w:val="single"/>
        </w:rPr>
        <w:t xml:space="preserve">                        </w:t>
      </w:r>
    </w:p>
    <w:p>
      <w:pPr>
        <w:pStyle w:val="25"/>
        <w:pageBreakBefore w:val="0"/>
        <w:widowControl w:val="0"/>
        <w:kinsoku/>
        <w:wordWrap/>
        <w:overflowPunct/>
        <w:topLinePunct w:val="0"/>
        <w:autoSpaceDE/>
        <w:autoSpaceDN/>
        <w:bidi w:val="0"/>
        <w:adjustRightInd/>
        <w:snapToGrid/>
        <w:spacing w:line="480" w:lineRule="exact"/>
        <w:ind w:left="0" w:firstLine="600" w:firstLineChars="2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为有效预防和禁止商业贿赂，防止腐败及其他不正当行为的发生，根据国家相关法律法规，我公司特向贵公司出具以下不可撤销承诺：</w:t>
      </w:r>
    </w:p>
    <w:p>
      <w:pPr>
        <w:pStyle w:val="25"/>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一、在参与竞争性谈判过程中，严格遵守国家有关的法律法规及廉洁从业规定，坚持公开、公平、公正、诚实信用原则，不损害国家、社会公共利益和贵公司的合法权益。</w:t>
      </w:r>
    </w:p>
    <w:p>
      <w:pPr>
        <w:pStyle w:val="25"/>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二、我公司（含我公司工作人员，下同）不得向贵公司工作人员行贿或馈赠，包括但不限于现金、礼金、贵重礼品、物品、购物卡、消费卡和有价证券等。</w:t>
      </w:r>
    </w:p>
    <w:p>
      <w:pPr>
        <w:pStyle w:val="25"/>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三、我公司不得向贵公司工作人员提供宴请、联谊活动、度假、旅游、考察和参观等活动，以及营业性娱乐场所（消费。</w:t>
      </w:r>
    </w:p>
    <w:p>
      <w:pPr>
        <w:pStyle w:val="25"/>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四、我公司不得为贵公司工作人员安排工作，报销各种票据费用以及支付应由其个人自付的各种费用。</w:t>
      </w:r>
    </w:p>
    <w:p>
      <w:pPr>
        <w:pStyle w:val="25"/>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五、我公司不得为贵公司工作人员购置或提供通讯工具、交通工具和高档办公用品，以及可能影响公平、公正的任何活动。</w:t>
      </w:r>
    </w:p>
    <w:p>
      <w:pPr>
        <w:pStyle w:val="25"/>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六、如贵公司工作人员有违反本承诺书行为的，我公司将及时提醒纠正并向贵公司举报，并配合调查。</w:t>
      </w:r>
    </w:p>
    <w:p>
      <w:pPr>
        <w:pStyle w:val="25"/>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七、如我公司违反承诺规定的，按照下列规定处罚：（1）自愿放弃与廉洁承诺相关的保证金及其他款项，并接受合同中廉洁条款规定的处罚；（2）我公司行为致使贵公司工作人员违法违纪的，视情节轻重，同意贵公司采取如下措施：①将我公司列入贵公司黑名单；②在一定期限内禁止或限制我公司参加贵公司组织的所有投标及其他活动；③依法赔偿给贵公司造成的损失。</w:t>
      </w:r>
    </w:p>
    <w:p>
      <w:pPr>
        <w:pStyle w:val="25"/>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八、本承诺书自我公司法定代表人或授权代表签字并加盖我公司公章后生效。 </w:t>
      </w:r>
    </w:p>
    <w:p>
      <w:pPr>
        <w:pStyle w:val="25"/>
        <w:keepNext w:val="0"/>
        <w:keepLines w:val="0"/>
        <w:pageBreakBefore w:val="0"/>
        <w:widowControl w:val="0"/>
        <w:kinsoku/>
        <w:wordWrap/>
        <w:overflowPunct/>
        <w:topLinePunct w:val="0"/>
        <w:autoSpaceDE/>
        <w:autoSpaceDN/>
        <w:bidi w:val="0"/>
        <w:adjustRightInd/>
        <w:snapToGrid/>
        <w:spacing w:line="480" w:lineRule="exact"/>
        <w:ind w:left="0" w:firstLine="4055" w:firstLineChars="1690"/>
        <w:textAlignment w:val="auto"/>
        <w:outlineLvl w:val="9"/>
        <w:rPr>
          <w:rFonts w:hint="eastAsia" w:ascii="宋体" w:hAnsi="宋体" w:eastAsia="宋体" w:cs="Times New Roman"/>
          <w:kern w:val="2"/>
          <w:sz w:val="24"/>
          <w:szCs w:val="24"/>
          <w:lang w:val="en-US" w:eastAsia="zh-CN" w:bidi="ar-SA"/>
        </w:rPr>
      </w:pPr>
    </w:p>
    <w:p>
      <w:pPr>
        <w:pStyle w:val="25"/>
        <w:keepNext w:val="0"/>
        <w:keepLines w:val="0"/>
        <w:pageBreakBefore w:val="0"/>
        <w:widowControl w:val="0"/>
        <w:kinsoku/>
        <w:wordWrap/>
        <w:overflowPunct/>
        <w:topLinePunct w:val="0"/>
        <w:autoSpaceDE/>
        <w:autoSpaceDN/>
        <w:bidi w:val="0"/>
        <w:adjustRightInd/>
        <w:snapToGrid/>
        <w:spacing w:line="480" w:lineRule="exact"/>
        <w:ind w:left="0" w:firstLine="4055" w:firstLineChars="1690"/>
        <w:textAlignment w:val="auto"/>
        <w:outlineLvl w:val="9"/>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响应人</w:t>
      </w:r>
      <w:r>
        <w:rPr>
          <w:rFonts w:hint="eastAsia" w:ascii="宋体" w:hAnsi="宋体" w:eastAsia="宋体" w:cs="Times New Roman"/>
          <w:kern w:val="2"/>
          <w:sz w:val="24"/>
          <w:szCs w:val="24"/>
          <w:lang w:val="en-US" w:eastAsia="zh-CN" w:bidi="ar-SA"/>
        </w:rPr>
        <w:t>（盖章）：</w:t>
      </w:r>
    </w:p>
    <w:p>
      <w:pPr>
        <w:pStyle w:val="25"/>
        <w:keepNext w:val="0"/>
        <w:keepLines w:val="0"/>
        <w:pageBreakBefore w:val="0"/>
        <w:widowControl w:val="0"/>
        <w:kinsoku/>
        <w:wordWrap/>
        <w:overflowPunct/>
        <w:topLinePunct w:val="0"/>
        <w:autoSpaceDE/>
        <w:autoSpaceDN/>
        <w:bidi w:val="0"/>
        <w:adjustRightInd/>
        <w:snapToGrid/>
        <w:spacing w:line="480" w:lineRule="exact"/>
        <w:ind w:left="0" w:firstLine="4055" w:firstLineChars="1690"/>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法定代表人或委托代理人： </w:t>
      </w:r>
    </w:p>
    <w:p>
      <w:pPr>
        <w:pStyle w:val="25"/>
        <w:keepNext w:val="0"/>
        <w:keepLines w:val="0"/>
        <w:pageBreakBefore w:val="0"/>
        <w:widowControl w:val="0"/>
        <w:kinsoku/>
        <w:wordWrap/>
        <w:overflowPunct/>
        <w:topLinePunct w:val="0"/>
        <w:autoSpaceDE/>
        <w:autoSpaceDN/>
        <w:bidi w:val="0"/>
        <w:adjustRightInd/>
        <w:snapToGrid/>
        <w:spacing w:line="480" w:lineRule="exact"/>
        <w:ind w:left="0" w:firstLine="4080" w:firstLineChars="1700"/>
        <w:textAlignment w:val="auto"/>
        <w:outlineLvl w:val="9"/>
        <w:rPr>
          <w:rFonts w:hint="eastAsia"/>
          <w:lang w:eastAsia="zh-CN"/>
        </w:rPr>
      </w:pPr>
      <w:r>
        <w:rPr>
          <w:rFonts w:hint="eastAsia" w:ascii="宋体" w:hAnsi="宋体" w:eastAsia="宋体" w:cs="Times New Roman"/>
          <w:kern w:val="2"/>
          <w:sz w:val="24"/>
          <w:szCs w:val="24"/>
          <w:lang w:val="en-US" w:eastAsia="zh-CN" w:bidi="ar-SA"/>
        </w:rPr>
        <w:t>年   月   日</w:t>
      </w:r>
    </w:p>
    <w:p>
      <w:pPr>
        <w:pStyle w:val="5"/>
        <w:kinsoku/>
        <w:overflowPunct/>
        <w:topLinePunct w:val="0"/>
        <w:bidi w:val="0"/>
        <w:spacing w:line="560" w:lineRule="exact"/>
        <w:jc w:val="center"/>
        <w:rPr>
          <w:rFonts w:hint="eastAsia" w:ascii="宋体" w:hAnsi="宋体" w:eastAsia="宋体" w:cs="宋体"/>
          <w:szCs w:val="28"/>
          <w:lang w:eastAsia="zh-CN"/>
        </w:rPr>
      </w:pPr>
      <w:r>
        <w:rPr>
          <w:rFonts w:hint="eastAsia" w:ascii="宋体" w:hAnsi="宋体" w:eastAsia="宋体" w:cs="宋体"/>
          <w:szCs w:val="28"/>
          <w:lang w:eastAsia="zh-CN"/>
        </w:rPr>
        <w:t>十、其他内容</w:t>
      </w:r>
    </w:p>
    <w:p>
      <w:pPr>
        <w:kinsoku/>
        <w:overflowPunct/>
        <w:topLinePunct w:val="0"/>
        <w:bidi w:val="0"/>
        <w:spacing w:line="560" w:lineRule="exact"/>
        <w:jc w:val="center"/>
        <w:rPr>
          <w:rFonts w:hint="eastAsia"/>
          <w:b/>
          <w:bCs/>
          <w:sz w:val="30"/>
          <w:szCs w:val="30"/>
          <w:lang w:eastAsia="zh-CN"/>
        </w:rPr>
      </w:pPr>
      <w:r>
        <w:rPr>
          <w:rFonts w:hint="eastAsia"/>
          <w:b/>
          <w:bCs/>
          <w:sz w:val="30"/>
          <w:szCs w:val="30"/>
          <w:lang w:eastAsia="zh-CN"/>
        </w:rPr>
        <w:t>承诺函</w:t>
      </w:r>
    </w:p>
    <w:p>
      <w:pPr>
        <w:pStyle w:val="25"/>
        <w:kinsoku/>
        <w:overflowPunct/>
        <w:topLinePunct w:val="0"/>
        <w:bidi w:val="0"/>
        <w:spacing w:before="156" w:beforeLines="50" w:after="156" w:afterLines="50" w:line="560" w:lineRule="exact"/>
        <w:ind w:firstLine="360" w:firstLineChars="15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（致）</w:t>
      </w:r>
      <w:r>
        <w:rPr>
          <w:rFonts w:hint="eastAsia" w:ascii="宋体" w:hAnsi="宋体" w:eastAsia="宋体" w:cs="Times New Roman"/>
          <w:kern w:val="2"/>
          <w:sz w:val="24"/>
          <w:szCs w:val="24"/>
          <w:lang w:val="en-US" w:eastAsia="zh-CN" w:bidi="ar-SA"/>
        </w:rPr>
        <w:t>：</w:t>
      </w:r>
      <w:r>
        <w:rPr>
          <w:rFonts w:hint="eastAsia" w:ascii="宋体" w:hAnsi="宋体"/>
          <w:sz w:val="24"/>
          <w:u w:val="single"/>
        </w:rPr>
        <w:t xml:space="preserve">                        </w:t>
      </w:r>
    </w:p>
    <w:p>
      <w:pPr>
        <w:pStyle w:val="25"/>
        <w:kinsoku/>
        <w:overflowPunct/>
        <w:topLinePunct w:val="0"/>
        <w:bidi w:val="0"/>
        <w:spacing w:before="156" w:beforeLines="50" w:after="156" w:afterLines="50" w:line="560" w:lineRule="exact"/>
        <w:ind w:firstLine="360" w:firstLineChars="1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遵守有关的国家法律、法规和条例，</w:t>
      </w:r>
      <w:r>
        <w:rPr>
          <w:rFonts w:hint="eastAsia" w:ascii="宋体" w:hAnsi="宋体" w:cs="Times New Roman"/>
          <w:kern w:val="2"/>
          <w:sz w:val="24"/>
          <w:szCs w:val="24"/>
          <w:lang w:val="en-US" w:eastAsia="zh-CN" w:bidi="ar-SA"/>
        </w:rPr>
        <w:t>我公司承诺</w:t>
      </w:r>
      <w:r>
        <w:rPr>
          <w:rFonts w:hint="eastAsia" w:ascii="宋体" w:hAnsi="宋体" w:eastAsia="宋体" w:cs="Times New Roman"/>
          <w:kern w:val="2"/>
          <w:sz w:val="24"/>
          <w:szCs w:val="24"/>
          <w:lang w:val="en-US" w:eastAsia="zh-CN" w:bidi="ar-SA"/>
        </w:rPr>
        <w:t>具备本文件中规定的条件：</w:t>
      </w:r>
    </w:p>
    <w:p>
      <w:pPr>
        <w:pStyle w:val="25"/>
        <w:kinsoku/>
        <w:overflowPunct/>
        <w:topLinePunct w:val="0"/>
        <w:bidi w:val="0"/>
        <w:spacing w:before="156" w:beforeLines="50" w:after="156" w:afterLines="50" w:line="560" w:lineRule="exact"/>
        <w:ind w:firstLine="360" w:firstLineChars="1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（1）具有独立承担民事责任的能力</w:t>
      </w:r>
    </w:p>
    <w:p>
      <w:pPr>
        <w:pStyle w:val="25"/>
        <w:kinsoku/>
        <w:overflowPunct/>
        <w:topLinePunct w:val="0"/>
        <w:bidi w:val="0"/>
        <w:spacing w:before="156" w:beforeLines="50" w:after="156" w:afterLines="50" w:line="560" w:lineRule="exact"/>
        <w:ind w:firstLine="360" w:firstLineChars="1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（2）具有良好的商业信誉和健全的财务会计制度</w:t>
      </w:r>
    </w:p>
    <w:p>
      <w:pPr>
        <w:pStyle w:val="25"/>
        <w:kinsoku/>
        <w:overflowPunct/>
        <w:topLinePunct w:val="0"/>
        <w:bidi w:val="0"/>
        <w:spacing w:before="156" w:beforeLines="50" w:after="156" w:afterLines="50" w:line="560" w:lineRule="exact"/>
        <w:ind w:firstLine="360" w:firstLineChars="1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（3）具有履行合同所必须的设备和专业技术能力</w:t>
      </w:r>
    </w:p>
    <w:p>
      <w:pPr>
        <w:pStyle w:val="25"/>
        <w:kinsoku/>
        <w:overflowPunct/>
        <w:topLinePunct w:val="0"/>
        <w:bidi w:val="0"/>
        <w:spacing w:before="156" w:beforeLines="50" w:after="156" w:afterLines="50" w:line="560" w:lineRule="exact"/>
        <w:ind w:firstLine="360" w:firstLineChars="1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（4）具有依法缴纳税收和社会保障资金的良好记录</w:t>
      </w:r>
    </w:p>
    <w:p>
      <w:pPr>
        <w:pStyle w:val="25"/>
        <w:kinsoku/>
        <w:overflowPunct/>
        <w:topLinePunct w:val="0"/>
        <w:bidi w:val="0"/>
        <w:spacing w:before="156" w:beforeLines="50" w:after="156" w:afterLines="50" w:line="560" w:lineRule="exact"/>
        <w:ind w:firstLine="360" w:firstLineChars="1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（5）参加此项谈判活动前三年内，在经营活动中没有重大违法记录</w:t>
      </w:r>
    </w:p>
    <w:p>
      <w:pPr>
        <w:pStyle w:val="25"/>
        <w:kinsoku/>
        <w:overflowPunct/>
        <w:topLinePunct w:val="0"/>
        <w:bidi w:val="0"/>
        <w:spacing w:before="156" w:beforeLines="50" w:after="156" w:afterLines="50" w:line="560" w:lineRule="exact"/>
        <w:ind w:firstLine="360" w:firstLineChars="1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（6）法律、行政法规规定的其他条件</w:t>
      </w:r>
    </w:p>
    <w:p>
      <w:pPr>
        <w:pStyle w:val="25"/>
        <w:kinsoku/>
        <w:overflowPunct/>
        <w:topLinePunct w:val="0"/>
        <w:bidi w:val="0"/>
        <w:spacing w:before="156" w:beforeLines="50" w:after="156" w:afterLines="50" w:line="560" w:lineRule="exact"/>
        <w:ind w:firstLine="360" w:firstLineChars="1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（7）具有本谈判文件对竞谈响应人所规定的资质条件</w:t>
      </w:r>
    </w:p>
    <w:p>
      <w:pPr>
        <w:pStyle w:val="25"/>
        <w:kinsoku/>
        <w:overflowPunct/>
        <w:topLinePunct w:val="0"/>
        <w:bidi w:val="0"/>
        <w:spacing w:before="156" w:beforeLines="50" w:after="156" w:afterLines="50" w:line="560" w:lineRule="exact"/>
        <w:ind w:firstLine="360" w:firstLineChars="1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我公司是已在中国境内依法登记注册的响应人，并且所持有的由工商行政管理部门所核发的有效的营业执照上载明的营业期限剩余时间应当不少于本次采购的相关合同基本义务履行所需期限，已经提供相关证明及材料能够证明具有履约能力。</w:t>
      </w:r>
    </w:p>
    <w:p>
      <w:pPr>
        <w:pStyle w:val="25"/>
        <w:kinsoku/>
        <w:overflowPunct/>
        <w:topLinePunct w:val="0"/>
        <w:bidi w:val="0"/>
        <w:spacing w:before="156" w:beforeLines="50" w:after="156" w:afterLines="50" w:line="560" w:lineRule="exact"/>
        <w:ind w:firstLine="360" w:firstLineChars="15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我公司的注册资金应足以保证本项目实施过程中的风险承担和赔付能力。</w:t>
      </w:r>
    </w:p>
    <w:p>
      <w:pPr>
        <w:pStyle w:val="3"/>
        <w:kinsoku/>
        <w:overflowPunct/>
        <w:topLinePunct w:val="0"/>
        <w:bidi w:val="0"/>
        <w:spacing w:line="560" w:lineRule="exact"/>
        <w:rPr>
          <w:rFonts w:hint="eastAsia" w:ascii="宋体" w:hAnsi="宋体" w:eastAsia="宋体" w:cs="宋体"/>
          <w:sz w:val="28"/>
          <w:szCs w:val="28"/>
          <w:lang w:eastAsia="zh-CN"/>
        </w:rPr>
      </w:pPr>
    </w:p>
    <w:p>
      <w:pPr>
        <w:pStyle w:val="25"/>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4055" w:firstLineChars="1690"/>
        <w:textAlignment w:val="auto"/>
        <w:outlineLvl w:val="9"/>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响应人：                    </w:t>
      </w:r>
    </w:p>
    <w:p>
      <w:pPr>
        <w:pStyle w:val="25"/>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4055" w:firstLineChars="1690"/>
        <w:textAlignment w:val="auto"/>
        <w:outlineLvl w:val="9"/>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法定代表人或委托代理人：                  </w:t>
      </w:r>
    </w:p>
    <w:p>
      <w:pPr>
        <w:pStyle w:val="25"/>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4055" w:firstLineChars="1690"/>
        <w:textAlignment w:val="auto"/>
        <w:outlineLvl w:val="9"/>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202</w:t>
      </w: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 xml:space="preserve">年  月   日   </w:t>
      </w:r>
    </w:p>
    <w:p>
      <w:pPr>
        <w:pStyle w:val="3"/>
        <w:kinsoku/>
        <w:overflowPunct/>
        <w:topLinePunct w:val="0"/>
        <w:bidi w:val="0"/>
        <w:spacing w:line="560" w:lineRule="exact"/>
        <w:rPr>
          <w:rFonts w:hint="eastAsia" w:ascii="宋体" w:hAnsi="宋体" w:eastAsia="宋体" w:cs="宋体"/>
          <w:szCs w:val="28"/>
          <w:lang w:eastAsia="zh-CN"/>
        </w:rPr>
      </w:pPr>
    </w:p>
    <w:p>
      <w:pPr>
        <w:rPr>
          <w:rFonts w:hint="eastAsia" w:ascii="宋体" w:hAnsi="宋体" w:eastAsia="宋体" w:cs="宋体"/>
          <w:szCs w:val="28"/>
          <w:lang w:eastAsia="zh-CN"/>
        </w:rPr>
      </w:pPr>
      <w:r>
        <w:rPr>
          <w:rFonts w:hint="eastAsia" w:ascii="宋体" w:hAnsi="宋体" w:eastAsia="宋体" w:cs="宋体"/>
          <w:szCs w:val="28"/>
          <w:lang w:eastAsia="zh-CN"/>
        </w:rPr>
        <w:br w:type="page"/>
      </w:r>
    </w:p>
    <w:p>
      <w:pPr>
        <w:pStyle w:val="5"/>
        <w:numPr>
          <w:ilvl w:val="0"/>
          <w:numId w:val="0"/>
        </w:numPr>
        <w:kinsoku/>
        <w:overflowPunct/>
        <w:topLinePunct w:val="0"/>
        <w:bidi w:val="0"/>
        <w:spacing w:line="560" w:lineRule="exact"/>
        <w:jc w:val="center"/>
        <w:rPr>
          <w:rFonts w:ascii="宋体" w:hAnsi="宋体" w:eastAsia="宋体" w:cs="宋体"/>
          <w:b w:val="0"/>
          <w:sz w:val="32"/>
          <w:szCs w:val="32"/>
        </w:rPr>
      </w:pPr>
      <w:r>
        <w:rPr>
          <w:rFonts w:hint="eastAsia" w:ascii="宋体" w:hAnsi="宋体" w:eastAsia="宋体" w:cs="宋体"/>
          <w:szCs w:val="28"/>
          <w:lang w:eastAsia="zh-CN"/>
        </w:rPr>
        <w:t>二次报价一览表</w:t>
      </w:r>
      <w:r>
        <w:rPr>
          <w:rFonts w:hint="eastAsia" w:ascii="宋体" w:hAnsi="宋体"/>
          <w:b/>
          <w:bCs/>
          <w:sz w:val="24"/>
          <w:szCs w:val="24"/>
          <w:lang w:eastAsia="zh-CN"/>
        </w:rPr>
        <w:t>（此表不装订在响应文件中）</w:t>
      </w:r>
    </w:p>
    <w:p>
      <w:pPr>
        <w:kinsoku/>
        <w:overflowPunct/>
        <w:topLinePunct w:val="0"/>
        <w:bidi w:val="0"/>
        <w:spacing w:line="560" w:lineRule="exact"/>
        <w:rPr>
          <w:rFonts w:ascii="宋体" w:hAnsi="宋体" w:cs="宋体"/>
          <w:sz w:val="24"/>
        </w:rPr>
      </w:pPr>
      <w:r>
        <w:rPr>
          <w:rFonts w:hint="eastAsia" w:ascii="宋体" w:hAnsi="宋体" w:cs="宋体"/>
          <w:sz w:val="24"/>
        </w:rPr>
        <w:t xml:space="preserve">                                                货币单位：人民币/元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827"/>
        <w:gridCol w:w="282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blHeader/>
        </w:trPr>
        <w:tc>
          <w:tcPr>
            <w:tcW w:w="1065" w:type="dxa"/>
            <w:shd w:val="clear" w:color="auto" w:fill="FFFFFF"/>
            <w:noWrap w:val="0"/>
            <w:vAlign w:val="center"/>
          </w:tcPr>
          <w:p>
            <w:pPr>
              <w:kinsoku/>
              <w:overflowPunct/>
              <w:topLinePunct w:val="0"/>
              <w:bidi w:val="0"/>
              <w:spacing w:line="560" w:lineRule="exact"/>
              <w:jc w:val="center"/>
              <w:rPr>
                <w:rFonts w:ascii="宋体" w:hAnsi="宋体" w:cs="宋体"/>
                <w:sz w:val="24"/>
              </w:rPr>
            </w:pPr>
            <w:r>
              <w:rPr>
                <w:rFonts w:hint="eastAsia" w:ascii="宋体" w:hAnsi="宋体" w:cs="宋体"/>
                <w:sz w:val="24"/>
              </w:rPr>
              <w:t>序号</w:t>
            </w:r>
          </w:p>
        </w:tc>
        <w:tc>
          <w:tcPr>
            <w:tcW w:w="2827" w:type="dxa"/>
            <w:shd w:val="clear" w:color="auto" w:fill="FFFFFF"/>
            <w:noWrap w:val="0"/>
            <w:vAlign w:val="center"/>
          </w:tcPr>
          <w:p>
            <w:pPr>
              <w:kinsoku/>
              <w:overflowPunct/>
              <w:topLinePunct w:val="0"/>
              <w:bidi w:val="0"/>
              <w:spacing w:line="560" w:lineRule="exact"/>
              <w:jc w:val="center"/>
              <w:rPr>
                <w:rFonts w:ascii="宋体" w:hAnsi="宋体" w:cs="宋体"/>
                <w:sz w:val="24"/>
              </w:rPr>
            </w:pPr>
            <w:r>
              <w:rPr>
                <w:rFonts w:hint="eastAsia" w:ascii="宋体" w:hAnsi="宋体" w:cs="宋体"/>
                <w:sz w:val="24"/>
              </w:rPr>
              <w:t>项目名称</w:t>
            </w:r>
          </w:p>
        </w:tc>
        <w:tc>
          <w:tcPr>
            <w:tcW w:w="2828" w:type="dxa"/>
            <w:shd w:val="clear" w:color="auto" w:fill="FFFFFF"/>
            <w:noWrap w:val="0"/>
            <w:vAlign w:val="center"/>
          </w:tcPr>
          <w:p>
            <w:pPr>
              <w:kinsoku/>
              <w:overflowPunct/>
              <w:topLinePunct w:val="0"/>
              <w:bidi w:val="0"/>
              <w:spacing w:line="560" w:lineRule="exact"/>
              <w:jc w:val="center"/>
              <w:rPr>
                <w:rFonts w:ascii="宋体" w:hAnsi="宋体" w:cs="宋体"/>
                <w:sz w:val="24"/>
              </w:rPr>
            </w:pPr>
            <w:r>
              <w:rPr>
                <w:rFonts w:hint="eastAsia" w:ascii="宋体" w:hAnsi="宋体" w:cs="宋体"/>
                <w:sz w:val="24"/>
              </w:rPr>
              <w:t>谈判报价(元)</w:t>
            </w:r>
          </w:p>
        </w:tc>
        <w:tc>
          <w:tcPr>
            <w:tcW w:w="2460" w:type="dxa"/>
            <w:shd w:val="clear" w:color="auto" w:fill="FFFFFF"/>
            <w:noWrap w:val="0"/>
            <w:vAlign w:val="center"/>
          </w:tcPr>
          <w:p>
            <w:pPr>
              <w:kinsoku/>
              <w:overflowPunct/>
              <w:topLinePunct w:val="0"/>
              <w:bidi w:val="0"/>
              <w:spacing w:line="56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065" w:type="dxa"/>
            <w:shd w:val="clear" w:color="auto" w:fill="auto"/>
            <w:noWrap w:val="0"/>
            <w:vAlign w:val="center"/>
          </w:tcPr>
          <w:p>
            <w:pPr>
              <w:kinsoku/>
              <w:overflowPunct/>
              <w:topLinePunct w:val="0"/>
              <w:bidi w:val="0"/>
              <w:spacing w:line="560" w:lineRule="exact"/>
              <w:jc w:val="center"/>
              <w:rPr>
                <w:rFonts w:ascii="宋体" w:hAnsi="宋体" w:cs="宋体"/>
                <w:sz w:val="24"/>
              </w:rPr>
            </w:pPr>
          </w:p>
        </w:tc>
        <w:tc>
          <w:tcPr>
            <w:tcW w:w="2827" w:type="dxa"/>
            <w:shd w:val="clear" w:color="auto" w:fill="FFFFFF"/>
            <w:noWrap w:val="0"/>
            <w:vAlign w:val="center"/>
          </w:tcPr>
          <w:p>
            <w:pPr>
              <w:widowControl/>
              <w:kinsoku/>
              <w:overflowPunct/>
              <w:topLinePunct w:val="0"/>
              <w:bidi w:val="0"/>
              <w:spacing w:line="560" w:lineRule="exact"/>
              <w:jc w:val="center"/>
              <w:rPr>
                <w:rFonts w:ascii="宋体" w:hAnsi="宋体" w:cs="宋体"/>
                <w:sz w:val="24"/>
              </w:rPr>
            </w:pPr>
          </w:p>
        </w:tc>
        <w:tc>
          <w:tcPr>
            <w:tcW w:w="2828" w:type="dxa"/>
            <w:shd w:val="clear" w:color="auto" w:fill="FFFFFF"/>
            <w:noWrap w:val="0"/>
            <w:vAlign w:val="center"/>
          </w:tcPr>
          <w:p>
            <w:pPr>
              <w:kinsoku/>
              <w:overflowPunct/>
              <w:topLinePunct w:val="0"/>
              <w:bidi w:val="0"/>
              <w:spacing w:line="560" w:lineRule="exact"/>
              <w:jc w:val="center"/>
              <w:rPr>
                <w:rFonts w:ascii="宋体" w:hAnsi="宋体" w:cs="宋体"/>
                <w:sz w:val="24"/>
              </w:rPr>
            </w:pPr>
          </w:p>
        </w:tc>
        <w:tc>
          <w:tcPr>
            <w:tcW w:w="2460" w:type="dxa"/>
            <w:shd w:val="clear" w:color="auto" w:fill="FFFFFF"/>
            <w:noWrap w:val="0"/>
            <w:vAlign w:val="center"/>
          </w:tcPr>
          <w:p>
            <w:pPr>
              <w:kinsoku/>
              <w:overflowPunct/>
              <w:topLinePunct w:val="0"/>
              <w:bidi w:val="0"/>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065" w:type="dxa"/>
            <w:shd w:val="clear" w:color="auto" w:fill="auto"/>
            <w:noWrap w:val="0"/>
            <w:vAlign w:val="center"/>
          </w:tcPr>
          <w:p>
            <w:pPr>
              <w:kinsoku/>
              <w:overflowPunct/>
              <w:topLinePunct w:val="0"/>
              <w:bidi w:val="0"/>
              <w:spacing w:line="560" w:lineRule="exact"/>
              <w:jc w:val="center"/>
              <w:rPr>
                <w:rFonts w:ascii="宋体" w:hAnsi="宋体" w:cs="宋体"/>
                <w:sz w:val="24"/>
              </w:rPr>
            </w:pPr>
          </w:p>
        </w:tc>
        <w:tc>
          <w:tcPr>
            <w:tcW w:w="2827" w:type="dxa"/>
            <w:shd w:val="clear" w:color="auto" w:fill="FFFFFF"/>
            <w:noWrap w:val="0"/>
            <w:vAlign w:val="center"/>
          </w:tcPr>
          <w:p>
            <w:pPr>
              <w:widowControl/>
              <w:kinsoku/>
              <w:overflowPunct/>
              <w:topLinePunct w:val="0"/>
              <w:bidi w:val="0"/>
              <w:spacing w:line="560" w:lineRule="exact"/>
              <w:jc w:val="center"/>
              <w:rPr>
                <w:rFonts w:ascii="宋体" w:hAnsi="宋体" w:cs="宋体"/>
                <w:sz w:val="24"/>
              </w:rPr>
            </w:pPr>
          </w:p>
        </w:tc>
        <w:tc>
          <w:tcPr>
            <w:tcW w:w="2828" w:type="dxa"/>
            <w:shd w:val="clear" w:color="auto" w:fill="FFFFFF"/>
            <w:noWrap w:val="0"/>
            <w:vAlign w:val="center"/>
          </w:tcPr>
          <w:p>
            <w:pPr>
              <w:kinsoku/>
              <w:overflowPunct/>
              <w:topLinePunct w:val="0"/>
              <w:bidi w:val="0"/>
              <w:spacing w:line="560" w:lineRule="exact"/>
              <w:jc w:val="center"/>
              <w:rPr>
                <w:rFonts w:ascii="宋体" w:hAnsi="宋体" w:cs="宋体"/>
                <w:sz w:val="24"/>
              </w:rPr>
            </w:pPr>
          </w:p>
        </w:tc>
        <w:tc>
          <w:tcPr>
            <w:tcW w:w="2460" w:type="dxa"/>
            <w:shd w:val="clear" w:color="auto" w:fill="FFFFFF"/>
            <w:noWrap w:val="0"/>
            <w:vAlign w:val="center"/>
          </w:tcPr>
          <w:p>
            <w:pPr>
              <w:kinsoku/>
              <w:overflowPunct/>
              <w:topLinePunct w:val="0"/>
              <w:bidi w:val="0"/>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80" w:type="dxa"/>
            <w:gridSpan w:val="4"/>
            <w:noWrap w:val="0"/>
            <w:vAlign w:val="center"/>
          </w:tcPr>
          <w:p>
            <w:pPr>
              <w:widowControl/>
              <w:kinsoku/>
              <w:overflowPunct/>
              <w:topLinePunct w:val="0"/>
              <w:bidi w:val="0"/>
              <w:spacing w:line="560" w:lineRule="exact"/>
              <w:jc w:val="left"/>
              <w:rPr>
                <w:rFonts w:ascii="宋体" w:hAnsi="宋体" w:cs="宋体"/>
                <w:sz w:val="24"/>
              </w:rPr>
            </w:pPr>
            <w:r>
              <w:rPr>
                <w:rFonts w:hint="eastAsia" w:ascii="宋体" w:hAnsi="宋体" w:cs="宋体"/>
                <w:sz w:val="24"/>
              </w:rPr>
              <w:t>合计(大写)：</w:t>
            </w:r>
          </w:p>
        </w:tc>
      </w:tr>
    </w:tbl>
    <w:p>
      <w:pPr>
        <w:kinsoku/>
        <w:overflowPunct/>
        <w:topLinePunct w:val="0"/>
        <w:bidi w:val="0"/>
        <w:spacing w:line="560" w:lineRule="exact"/>
        <w:rPr>
          <w:rFonts w:ascii="宋体" w:hAnsi="宋体" w:cs="宋体"/>
          <w:szCs w:val="21"/>
        </w:rPr>
      </w:pPr>
      <w:r>
        <w:rPr>
          <w:rFonts w:hint="eastAsia" w:ascii="宋体" w:hAnsi="宋体" w:cs="宋体"/>
          <w:szCs w:val="21"/>
        </w:rPr>
        <w:t>注：</w:t>
      </w:r>
    </w:p>
    <w:p>
      <w:pPr>
        <w:kinsoku/>
        <w:overflowPunct/>
        <w:topLinePunct w:val="0"/>
        <w:bidi w:val="0"/>
        <w:spacing w:line="560" w:lineRule="exact"/>
        <w:rPr>
          <w:rFonts w:ascii="宋体" w:hAnsi="宋体"/>
          <w:bCs/>
          <w:szCs w:val="21"/>
        </w:rPr>
      </w:pPr>
      <w:r>
        <w:rPr>
          <w:rFonts w:hint="eastAsia" w:ascii="宋体" w:hAnsi="宋体" w:cs="宋体"/>
          <w:szCs w:val="21"/>
        </w:rPr>
        <w:t>1</w:t>
      </w:r>
      <w:r>
        <w:rPr>
          <w:rFonts w:hint="eastAsia" w:ascii="宋体" w:hAnsi="宋体"/>
          <w:bCs/>
          <w:szCs w:val="21"/>
        </w:rPr>
        <w:t>. 谈判报价为响应人全部报价（人民币），包括响应人履行本项目合同（如果成交）所必须的所有成本费用和响应人应承担的一切税费，</w:t>
      </w:r>
      <w:r>
        <w:rPr>
          <w:rFonts w:hint="eastAsia" w:ascii="宋体" w:hAnsi="宋体"/>
          <w:bCs/>
          <w:szCs w:val="21"/>
          <w:lang w:eastAsia="zh-CN"/>
        </w:rPr>
        <w:t>含</w:t>
      </w:r>
      <w:r>
        <w:rPr>
          <w:rFonts w:hint="eastAsia" w:ascii="宋体" w:hAnsi="宋体"/>
          <w:bCs/>
          <w:szCs w:val="21"/>
        </w:rPr>
        <w:t>设计、材料</w:t>
      </w:r>
      <w:r>
        <w:rPr>
          <w:rFonts w:hint="eastAsia" w:ascii="宋体" w:hAnsi="宋体"/>
          <w:bCs/>
          <w:szCs w:val="21"/>
          <w:lang w:val="en-US" w:eastAsia="zh-CN"/>
        </w:rPr>
        <w:t>采购</w:t>
      </w:r>
      <w:r>
        <w:rPr>
          <w:rFonts w:hint="eastAsia" w:ascii="宋体" w:hAnsi="宋体"/>
          <w:bCs/>
          <w:szCs w:val="21"/>
        </w:rPr>
        <w:t>、制造、包装、运输、安装、调试、检测、验收合格交付使用之前及保修期内保修服务与备用物件等所有其他有关各项的含税费用。</w:t>
      </w:r>
    </w:p>
    <w:p>
      <w:pPr>
        <w:kinsoku/>
        <w:overflowPunct/>
        <w:topLinePunct w:val="0"/>
        <w:bidi w:val="0"/>
        <w:spacing w:line="560" w:lineRule="exact"/>
        <w:rPr>
          <w:rFonts w:ascii="宋体" w:hAnsi="宋体"/>
          <w:bCs/>
          <w:szCs w:val="21"/>
        </w:rPr>
      </w:pPr>
      <w:r>
        <w:rPr>
          <w:rFonts w:hint="eastAsia" w:ascii="宋体" w:hAnsi="宋体"/>
          <w:bCs/>
          <w:szCs w:val="21"/>
        </w:rPr>
        <w:t>2. 若用小写表示的金额和用大写表示的金额不一致，以大写表示的金额为准。</w:t>
      </w:r>
    </w:p>
    <w:p>
      <w:pPr>
        <w:kinsoku/>
        <w:overflowPunct/>
        <w:topLinePunct w:val="0"/>
        <w:bidi w:val="0"/>
        <w:spacing w:line="560" w:lineRule="exact"/>
        <w:rPr>
          <w:rFonts w:ascii="宋体" w:hAnsi="宋体"/>
          <w:b/>
          <w:bCs/>
          <w:szCs w:val="21"/>
        </w:rPr>
      </w:pPr>
      <w:r>
        <w:rPr>
          <w:rFonts w:hint="eastAsia" w:ascii="宋体" w:hAnsi="宋体"/>
          <w:bCs/>
          <w:szCs w:val="21"/>
        </w:rPr>
        <w:t>3. 对含糊不清或不确定的报价将视为无效报价。</w:t>
      </w:r>
    </w:p>
    <w:p>
      <w:pPr>
        <w:kinsoku/>
        <w:overflowPunct/>
        <w:topLinePunct w:val="0"/>
        <w:bidi w:val="0"/>
        <w:spacing w:line="560" w:lineRule="exact"/>
        <w:jc w:val="left"/>
        <w:rPr>
          <w:rFonts w:ascii="宋体" w:hAnsi="宋体" w:cs="宋体"/>
          <w:sz w:val="24"/>
        </w:rPr>
      </w:pPr>
    </w:p>
    <w:p>
      <w:pPr>
        <w:pStyle w:val="11"/>
        <w:kinsoku/>
        <w:overflowPunct/>
        <w:topLinePunct w:val="0"/>
        <w:bidi w:val="0"/>
        <w:spacing w:line="560" w:lineRule="exact"/>
        <w:ind w:firstLine="0"/>
        <w:rPr>
          <w:rFonts w:ascii="宋体" w:hAnsi="宋体" w:cs="宋体"/>
          <w:sz w:val="24"/>
        </w:rPr>
      </w:pPr>
    </w:p>
    <w:p>
      <w:pPr>
        <w:pStyle w:val="11"/>
        <w:kinsoku/>
        <w:overflowPunct/>
        <w:topLinePunct w:val="0"/>
        <w:bidi w:val="0"/>
        <w:spacing w:line="560" w:lineRule="exact"/>
        <w:ind w:firstLine="0"/>
        <w:rPr>
          <w:rFonts w:ascii="宋体" w:hAnsi="宋体" w:cs="宋体"/>
          <w:sz w:val="24"/>
        </w:rPr>
      </w:pPr>
      <w:r>
        <w:rPr>
          <w:rFonts w:hint="eastAsia" w:ascii="宋体" w:hAnsi="宋体" w:cs="宋体"/>
          <w:sz w:val="24"/>
        </w:rPr>
        <w:t>响应人名称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(盖章)</w:t>
      </w:r>
    </w:p>
    <w:p>
      <w:pPr>
        <w:pStyle w:val="11"/>
        <w:kinsoku/>
        <w:overflowPunct/>
        <w:topLinePunct w:val="0"/>
        <w:bidi w:val="0"/>
        <w:spacing w:line="560" w:lineRule="exact"/>
        <w:ind w:firstLine="0"/>
        <w:rPr>
          <w:rFonts w:ascii="宋体" w:hAnsi="宋体" w:cs="宋体"/>
          <w:sz w:val="24"/>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(签字)</w:t>
      </w:r>
    </w:p>
    <w:p>
      <w:pPr>
        <w:pStyle w:val="11"/>
        <w:kinsoku/>
        <w:overflowPunct/>
        <w:topLinePunct w:val="0"/>
        <w:bidi w:val="0"/>
        <w:spacing w:line="560" w:lineRule="exact"/>
        <w:ind w:firstLine="0"/>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hint="eastAsia" w:ascii="宋体" w:hAnsi="宋体"/>
          <w:b/>
          <w:bCs/>
          <w:sz w:val="32"/>
          <w:szCs w:val="32"/>
        </w:rPr>
      </w:pPr>
      <w:r>
        <w:rPr>
          <w:rFonts w:hint="eastAsia" w:ascii="宋体" w:hAnsi="宋体"/>
          <w:b/>
          <w:bCs/>
          <w:sz w:val="32"/>
          <w:szCs w:val="32"/>
        </w:rPr>
        <w:br w:type="page"/>
      </w:r>
    </w:p>
    <w:p>
      <w:pPr>
        <w:pStyle w:val="4"/>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rPr>
          <w:rFonts w:hint="eastAsia"/>
          <w:lang w:eastAsia="zh-CN"/>
        </w:rPr>
      </w:pPr>
      <w:r>
        <w:rPr>
          <w:rFonts w:hint="eastAsia" w:ascii="宋体" w:hAnsi="宋体"/>
          <w:b/>
          <w:bCs/>
          <w:sz w:val="32"/>
          <w:szCs w:val="32"/>
        </w:rPr>
        <w:t>第二次报价</w:t>
      </w:r>
      <w:r>
        <w:rPr>
          <w:rFonts w:hint="eastAsia" w:ascii="宋体" w:hAnsi="宋体"/>
          <w:b/>
          <w:bCs/>
          <w:sz w:val="32"/>
          <w:szCs w:val="32"/>
          <w:lang w:eastAsia="zh-CN"/>
        </w:rPr>
        <w:t>清单</w:t>
      </w:r>
    </w:p>
    <w:tbl>
      <w:tblPr>
        <w:tblStyle w:val="1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9"/>
        <w:gridCol w:w="746"/>
        <w:gridCol w:w="1326"/>
        <w:gridCol w:w="3144"/>
        <w:gridCol w:w="470"/>
        <w:gridCol w:w="780"/>
        <w:gridCol w:w="620"/>
        <w:gridCol w:w="6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79"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p>
        </w:tc>
        <w:tc>
          <w:tcPr>
            <w:tcW w:w="746"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项目名称</w:t>
            </w:r>
          </w:p>
        </w:tc>
        <w:tc>
          <w:tcPr>
            <w:tcW w:w="1326"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规格</w:t>
            </w:r>
          </w:p>
        </w:tc>
        <w:tc>
          <w:tcPr>
            <w:tcW w:w="3144"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材质</w:t>
            </w:r>
          </w:p>
        </w:tc>
        <w:tc>
          <w:tcPr>
            <w:tcW w:w="470"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单位</w:t>
            </w:r>
          </w:p>
        </w:tc>
        <w:tc>
          <w:tcPr>
            <w:tcW w:w="780"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数量</w:t>
            </w:r>
          </w:p>
        </w:tc>
        <w:tc>
          <w:tcPr>
            <w:tcW w:w="620"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单价</w:t>
            </w:r>
          </w:p>
        </w:tc>
        <w:tc>
          <w:tcPr>
            <w:tcW w:w="692" w:type="dxa"/>
            <w:tcBorders>
              <w:tl2br w:val="nil"/>
              <w:tr2bl w:val="nil"/>
            </w:tcBorders>
            <w:shd w:val="clear" w:color="auto" w:fill="D0CECE"/>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b/>
                <w:sz w:val="18"/>
                <w:szCs w:val="18"/>
              </w:rPr>
            </w:pPr>
            <w:r>
              <w:rPr>
                <w:b/>
                <w:sz w:val="18"/>
                <w:szCs w:val="1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157" w:type="dxa"/>
            <w:gridSpan w:val="8"/>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Times New Roman"/>
                <w:sz w:val="18"/>
                <w:szCs w:val="18"/>
              </w:rPr>
            </w:pPr>
            <w:r>
              <w:rPr>
                <w:rFonts w:hint="eastAsia"/>
                <w:b/>
                <w:sz w:val="18"/>
                <w:szCs w:val="18"/>
                <w:lang w:val="en-US" w:eastAsia="zh-CN"/>
              </w:rPr>
              <w:t>员工宿舍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jc w:val="center"/>
        </w:trPr>
        <w:tc>
          <w:tcPr>
            <w:tcW w:w="37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sz w:val="15"/>
                <w:szCs w:val="15"/>
              </w:rPr>
              <w:t>1</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4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eastAsia="宋体"/>
                <w:sz w:val="15"/>
                <w:szCs w:val="15"/>
                <w:lang w:val="en-US" w:eastAsia="zh-CN"/>
              </w:rPr>
            </w:pPr>
            <w:r>
              <w:rPr>
                <w:rFonts w:hint="eastAsia"/>
                <w:sz w:val="15"/>
                <w:szCs w:val="15"/>
                <w:lang w:val="en-US" w:eastAsia="zh-CN"/>
              </w:rPr>
              <w:t>床</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rFonts w:hint="eastAsia"/>
                <w:sz w:val="15"/>
                <w:szCs w:val="15"/>
                <w:lang w:val="en-US" w:eastAsia="zh-CN"/>
              </w:rPr>
              <w:t>12</w:t>
            </w:r>
            <w:r>
              <w:rPr>
                <w:sz w:val="15"/>
                <w:szCs w:val="15"/>
              </w:rPr>
              <w:t>00*</w:t>
            </w:r>
            <w:r>
              <w:rPr>
                <w:rFonts w:hint="eastAsia"/>
                <w:sz w:val="15"/>
                <w:szCs w:val="15"/>
                <w:lang w:val="en-US" w:eastAsia="zh-CN"/>
              </w:rPr>
              <w:t>2000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sz w:val="15"/>
                <w:szCs w:val="15"/>
              </w:rPr>
            </w:pPr>
            <w:r>
              <w:rPr>
                <w:rFonts w:hint="eastAsia"/>
                <w:sz w:val="15"/>
                <w:szCs w:val="15"/>
                <w:lang w:val="en-US" w:eastAsia="zh-CN"/>
              </w:rPr>
              <w:t>1.</w:t>
            </w:r>
            <w:r>
              <w:rPr>
                <w:rFonts w:hint="eastAsia"/>
                <w:sz w:val="15"/>
                <w:szCs w:val="15"/>
                <w:lang w:eastAsia="zh-CN"/>
              </w:rPr>
              <w:t>基材</w:t>
            </w:r>
            <w:r>
              <w:rPr>
                <w:sz w:val="15"/>
                <w:szCs w:val="15"/>
              </w:rPr>
              <w:t>：</w:t>
            </w:r>
            <w:r>
              <w:rPr>
                <w:rFonts w:hint="eastAsia"/>
                <w:sz w:val="15"/>
                <w:szCs w:val="15"/>
                <w:lang w:val="en-US" w:eastAsia="zh-CN"/>
              </w:rPr>
              <w:t>实木（松木、柏木、橡胶木）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sz w:val="15"/>
                <w:szCs w:val="15"/>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sz w:val="15"/>
                <w:szCs w:val="15"/>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20</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1500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eastAsia="宋体"/>
                <w:b/>
                <w:sz w:val="15"/>
                <w:szCs w:val="15"/>
                <w:lang w:eastAsia="zh-CN"/>
              </w:rPr>
            </w:pPr>
            <w:r>
              <w:rPr>
                <w:rFonts w:hint="eastAsia"/>
                <w:sz w:val="15"/>
                <w:szCs w:val="15"/>
                <w:lang w:val="en-US" w:eastAsia="zh-CN"/>
              </w:rPr>
              <w:t>1.</w:t>
            </w:r>
            <w:r>
              <w:rPr>
                <w:rFonts w:hint="eastAsia"/>
                <w:sz w:val="15"/>
                <w:szCs w:val="15"/>
                <w:lang w:eastAsia="zh-CN"/>
              </w:rPr>
              <w:t>基材</w:t>
            </w:r>
            <w:r>
              <w:rPr>
                <w:sz w:val="15"/>
                <w:szCs w:val="15"/>
              </w:rPr>
              <w:t>：</w:t>
            </w:r>
            <w:r>
              <w:rPr>
                <w:rFonts w:hint="eastAsia"/>
                <w:sz w:val="15"/>
                <w:szCs w:val="15"/>
                <w:lang w:val="en-US" w:eastAsia="zh-CN"/>
              </w:rPr>
              <w:t>实木（松木、柏木、橡胶木）2.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37</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1800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b/>
                <w:sz w:val="15"/>
                <w:szCs w:val="15"/>
              </w:rPr>
            </w:pPr>
            <w:r>
              <w:rPr>
                <w:rFonts w:hint="eastAsia"/>
                <w:sz w:val="15"/>
                <w:szCs w:val="15"/>
                <w:lang w:val="en-US" w:eastAsia="zh-CN"/>
              </w:rPr>
              <w:t>1.</w:t>
            </w:r>
            <w:r>
              <w:rPr>
                <w:rFonts w:hint="eastAsia"/>
                <w:sz w:val="15"/>
                <w:szCs w:val="15"/>
                <w:lang w:eastAsia="zh-CN"/>
              </w:rPr>
              <w:t>基材</w:t>
            </w:r>
            <w:r>
              <w:rPr>
                <w:sz w:val="15"/>
                <w:szCs w:val="15"/>
              </w:rPr>
              <w:t>：</w:t>
            </w:r>
            <w:r>
              <w:rPr>
                <w:rFonts w:hint="eastAsia"/>
                <w:sz w:val="15"/>
                <w:szCs w:val="15"/>
                <w:lang w:val="en-US" w:eastAsia="zh-CN"/>
              </w:rPr>
              <w:t>实木（松木、柏木、橡胶木）2.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2</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eastAsia="宋体"/>
                <w:sz w:val="15"/>
                <w:szCs w:val="15"/>
                <w:lang w:val="en-US" w:eastAsia="zh-CN"/>
              </w:rPr>
            </w:pPr>
            <w:r>
              <w:rPr>
                <w:rFonts w:hint="eastAsia"/>
                <w:sz w:val="15"/>
                <w:szCs w:val="15"/>
                <w:lang w:val="en-US" w:eastAsia="zh-CN"/>
              </w:rPr>
              <w:t>床头柜</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480</w:t>
            </w:r>
            <w:r>
              <w:rPr>
                <w:rFonts w:hint="eastAsia" w:ascii="宋体" w:hAnsi="宋体" w:eastAsia="宋体" w:cs="宋体"/>
                <w:sz w:val="15"/>
                <w:szCs w:val="15"/>
                <w:lang w:val="en-US" w:eastAsia="zh-CN"/>
              </w:rPr>
              <w:t>*</w:t>
            </w:r>
            <w:r>
              <w:rPr>
                <w:rFonts w:hint="eastAsia"/>
                <w:sz w:val="15"/>
                <w:szCs w:val="15"/>
                <w:lang w:val="en-US" w:eastAsia="zh-CN"/>
              </w:rPr>
              <w:t>400</w:t>
            </w:r>
            <w:r>
              <w:rPr>
                <w:rFonts w:hint="eastAsia" w:ascii="宋体" w:hAnsi="宋体" w:eastAsia="宋体" w:cs="宋体"/>
                <w:sz w:val="15"/>
                <w:szCs w:val="15"/>
                <w:lang w:val="en-US" w:eastAsia="zh-CN"/>
              </w:rPr>
              <w:t>*</w:t>
            </w:r>
            <w:r>
              <w:rPr>
                <w:rFonts w:hint="eastAsia"/>
                <w:sz w:val="15"/>
                <w:szCs w:val="15"/>
                <w:lang w:val="en-US" w:eastAsia="zh-CN"/>
              </w:rPr>
              <w:t>500</w:t>
            </w:r>
          </w:p>
        </w:tc>
        <w:tc>
          <w:tcPr>
            <w:tcW w:w="3144" w:type="dxa"/>
            <w:tcBorders>
              <w:tl2br w:val="nil"/>
              <w:tr2bl w:val="nil"/>
            </w:tcBorders>
            <w:noWrap w:val="0"/>
            <w:vAlign w:val="center"/>
          </w:tcPr>
          <w:p>
            <w:pPr>
              <w:pStyle w:val="23"/>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eastAsia="zh-CN"/>
              </w:rPr>
              <w:t>基材</w:t>
            </w:r>
            <w:r>
              <w:rPr>
                <w:sz w:val="15"/>
                <w:szCs w:val="15"/>
              </w:rPr>
              <w:t>：</w:t>
            </w:r>
            <w:r>
              <w:rPr>
                <w:rFonts w:hint="eastAsia"/>
                <w:sz w:val="15"/>
                <w:szCs w:val="15"/>
                <w:lang w:val="en-US" w:eastAsia="zh-CN"/>
              </w:rPr>
              <w:t>实木（松木、柏木、橡胶木）2.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个</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53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37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3</w:t>
            </w:r>
          </w:p>
        </w:tc>
        <w:tc>
          <w:tcPr>
            <w:tcW w:w="74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床垫</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1200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left"/>
              <w:textAlignment w:val="auto"/>
              <w:rPr>
                <w:rFonts w:hint="default"/>
                <w:sz w:val="15"/>
                <w:szCs w:val="15"/>
                <w:lang w:val="en-US" w:eastAsia="zh-CN"/>
              </w:rPr>
            </w:pPr>
            <w:r>
              <w:rPr>
                <w:rFonts w:hint="eastAsia"/>
                <w:sz w:val="15"/>
                <w:szCs w:val="15"/>
                <w:lang w:val="en-US" w:eastAsia="zh-CN"/>
              </w:rPr>
              <w:t>甲醛椰棕80mm</w:t>
            </w:r>
          </w:p>
        </w:tc>
        <w:tc>
          <w:tcPr>
            <w:tcW w:w="47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b w:val="0"/>
                <w:bCs w:val="0"/>
                <w:sz w:val="15"/>
                <w:szCs w:val="15"/>
                <w:u w:val="none"/>
                <w:lang w:val="en-US" w:eastAsia="zh-CN"/>
              </w:rPr>
            </w:pPr>
            <w:r>
              <w:rPr>
                <w:rFonts w:hint="eastAsia" w:eastAsia="宋体"/>
                <w:b w:val="0"/>
                <w:bCs w:val="0"/>
                <w:sz w:val="15"/>
                <w:szCs w:val="15"/>
                <w:u w:val="none"/>
                <w:lang w:val="en-US" w:eastAsia="zh-CN"/>
              </w:rPr>
              <w:t>20</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b w:val="0"/>
                <w:bCs w:val="0"/>
                <w:sz w:val="15"/>
                <w:szCs w:val="15"/>
                <w:u w:val="none"/>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b w:val="0"/>
                <w:bCs w:val="0"/>
                <w:sz w:val="15"/>
                <w:szCs w:val="15"/>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1500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b w:val="0"/>
                <w:bCs w:val="0"/>
                <w:sz w:val="15"/>
                <w:szCs w:val="15"/>
                <w:u w:val="none"/>
                <w:lang w:val="en-US" w:eastAsia="zh-CN"/>
              </w:rPr>
            </w:pPr>
            <w:r>
              <w:rPr>
                <w:rFonts w:hint="eastAsia"/>
                <w:b w:val="0"/>
                <w:bCs w:val="0"/>
                <w:sz w:val="15"/>
                <w:szCs w:val="15"/>
                <w:u w:val="none"/>
                <w:lang w:val="en-US" w:eastAsia="zh-CN"/>
              </w:rPr>
              <w:t>37</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b w:val="0"/>
                <w:bCs w:val="0"/>
                <w:sz w:val="15"/>
                <w:szCs w:val="15"/>
                <w:u w:val="none"/>
                <w:lang w:val="en-US"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b w:val="0"/>
                <w:bCs w:val="0"/>
                <w:sz w:val="15"/>
                <w:szCs w:val="15"/>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1800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b w:val="0"/>
                <w:bCs w:val="0"/>
                <w:sz w:val="15"/>
                <w:szCs w:val="15"/>
                <w:u w:val="none"/>
                <w:lang w:val="en-US" w:eastAsia="zh-CN"/>
              </w:rPr>
            </w:pPr>
            <w:r>
              <w:rPr>
                <w:rFonts w:hint="eastAsia"/>
                <w:b w:val="0"/>
                <w:bCs w:val="0"/>
                <w:sz w:val="15"/>
                <w:szCs w:val="15"/>
                <w:u w:val="none"/>
                <w:lang w:val="en-US" w:eastAsia="zh-CN"/>
              </w:rPr>
              <w:t>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b w:val="0"/>
                <w:bCs w:val="0"/>
                <w:sz w:val="15"/>
                <w:szCs w:val="15"/>
                <w:u w:val="none"/>
                <w:lang w:val="en-US"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b w:val="0"/>
                <w:bCs w:val="0"/>
                <w:sz w:val="15"/>
                <w:szCs w:val="15"/>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jc w:val="center"/>
        </w:trPr>
        <w:tc>
          <w:tcPr>
            <w:tcW w:w="37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4</w:t>
            </w:r>
          </w:p>
        </w:tc>
        <w:tc>
          <w:tcPr>
            <w:tcW w:w="74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sz w:val="15"/>
                <w:szCs w:val="15"/>
              </w:rPr>
              <w:t>沙发</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sz w:val="15"/>
                <w:szCs w:val="15"/>
              </w:rPr>
              <w:t>单人位</w:t>
            </w:r>
          </w:p>
        </w:tc>
        <w:tc>
          <w:tcPr>
            <w:tcW w:w="3144"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1.面材：进口优质牛皮；</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sz w:val="15"/>
                <w:szCs w:val="15"/>
              </w:rPr>
            </w:pPr>
            <w:r>
              <w:rPr>
                <w:rFonts w:hint="eastAsia"/>
                <w:sz w:val="15"/>
                <w:szCs w:val="15"/>
                <w:lang w:val="en-US" w:eastAsia="zh-CN"/>
              </w:rPr>
              <w:t>2.基材：黄云香与青松木料框架打底，高弹一次成型不助燃无毒海绵，通过BS7174-1995安全测试标准，在点燃火种离开10秒后，海绵自动结焦熄灭，少毒无烟，密度为29#-40#范围）</w:t>
            </w:r>
          </w:p>
        </w:tc>
        <w:tc>
          <w:tcPr>
            <w:tcW w:w="47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r>
              <w:rPr>
                <w:sz w:val="15"/>
                <w:szCs w:val="15"/>
              </w:rPr>
              <w:t>把</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sz w:val="15"/>
                <w:szCs w:val="15"/>
                <w:lang w:val="en-US" w:eastAsia="zh-CN"/>
              </w:rPr>
            </w:pPr>
            <w:r>
              <w:rPr>
                <w:rFonts w:hint="eastAsia" w:eastAsia="宋体"/>
                <w:sz w:val="15"/>
                <w:szCs w:val="15"/>
                <w:lang w:val="en-US" w:eastAsia="zh-CN"/>
              </w:rPr>
              <w:t>5</w:t>
            </w:r>
          </w:p>
        </w:tc>
        <w:tc>
          <w:tcPr>
            <w:tcW w:w="62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双人位</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5</w:t>
            </w:r>
          </w:p>
        </w:tc>
        <w:tc>
          <w:tcPr>
            <w:tcW w:w="62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692"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三人位</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2</w:t>
            </w:r>
          </w:p>
        </w:tc>
        <w:tc>
          <w:tcPr>
            <w:tcW w:w="62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692"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firstLine="150" w:firstLineChars="100"/>
              <w:jc w:val="center"/>
              <w:textAlignment w:val="auto"/>
              <w:rPr>
                <w:rFonts w:hint="default" w:eastAsia="宋体"/>
                <w:sz w:val="15"/>
                <w:szCs w:val="15"/>
                <w:lang w:val="en-US" w:eastAsia="zh-CN"/>
              </w:rPr>
            </w:pPr>
            <w:r>
              <w:rPr>
                <w:rFonts w:hint="eastAsia" w:eastAsia="宋体"/>
                <w:sz w:val="15"/>
                <w:szCs w:val="15"/>
                <w:lang w:val="en-US" w:eastAsia="zh-CN"/>
              </w:rPr>
              <w:t>5</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eastAsia="宋体"/>
                <w:sz w:val="15"/>
                <w:szCs w:val="15"/>
                <w:lang w:val="en-US" w:eastAsia="zh-CN"/>
              </w:rPr>
            </w:pPr>
            <w:r>
              <w:rPr>
                <w:rFonts w:hint="eastAsia"/>
                <w:sz w:val="15"/>
                <w:szCs w:val="15"/>
                <w:lang w:val="en-US" w:eastAsia="zh-CN"/>
              </w:rPr>
              <w:t>衣柜</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1360</w:t>
            </w:r>
            <w:r>
              <w:rPr>
                <w:rFonts w:hint="eastAsia" w:ascii="宋体" w:hAnsi="宋体" w:eastAsia="宋体" w:cs="宋体"/>
                <w:sz w:val="15"/>
                <w:szCs w:val="15"/>
                <w:lang w:val="en-US" w:eastAsia="zh-CN"/>
              </w:rPr>
              <w:t>*</w:t>
            </w:r>
            <w:r>
              <w:rPr>
                <w:rFonts w:hint="eastAsia"/>
                <w:sz w:val="15"/>
                <w:szCs w:val="15"/>
                <w:lang w:val="en-US" w:eastAsia="zh-CN"/>
              </w:rPr>
              <w:t>600</w:t>
            </w:r>
            <w:r>
              <w:rPr>
                <w:rFonts w:hint="eastAsia" w:ascii="宋体" w:hAnsi="宋体" w:eastAsia="宋体" w:cs="宋体"/>
                <w:sz w:val="15"/>
                <w:szCs w:val="15"/>
                <w:lang w:val="en-US" w:eastAsia="zh-CN"/>
              </w:rPr>
              <w:t>*</w:t>
            </w:r>
            <w:r>
              <w:rPr>
                <w:rFonts w:hint="eastAsia"/>
                <w:sz w:val="15"/>
                <w:szCs w:val="15"/>
                <w:lang w:val="en-US" w:eastAsia="zh-CN"/>
              </w:rPr>
              <w:t>2000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1.基材：柏木、橡胶木、松木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default"/>
                <w:sz w:val="15"/>
                <w:szCs w:val="15"/>
                <w:lang w:val="en-US" w:eastAsia="zh-CN"/>
              </w:rPr>
            </w:pPr>
            <w:r>
              <w:rPr>
                <w:rFonts w:hint="eastAsia"/>
                <w:sz w:val="15"/>
                <w:szCs w:val="15"/>
                <w:lang w:val="en-US" w:eastAsia="zh-CN"/>
              </w:rPr>
              <w:t>3.五金件：德国BMB、海蒂斯、海福乐</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个</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firstLine="300" w:firstLineChars="200"/>
              <w:jc w:val="both"/>
              <w:textAlignment w:val="auto"/>
              <w:rPr>
                <w:rFonts w:hint="default" w:eastAsia="宋体"/>
                <w:sz w:val="15"/>
                <w:szCs w:val="15"/>
                <w:lang w:val="en-US" w:eastAsia="zh-CN"/>
              </w:rPr>
            </w:pPr>
            <w:r>
              <w:rPr>
                <w:rFonts w:hint="eastAsia"/>
                <w:sz w:val="15"/>
                <w:szCs w:val="15"/>
                <w:lang w:val="en-US" w:eastAsia="zh-CN"/>
              </w:rPr>
              <w:t>41</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sz w:val="15"/>
                <w:szCs w:val="15"/>
                <w:lang w:val="en-US" w:eastAsia="zh-CN"/>
              </w:rPr>
            </w:pPr>
            <w:r>
              <w:rPr>
                <w:rFonts w:hint="eastAsia" w:eastAsia="宋体"/>
                <w:sz w:val="15"/>
                <w:szCs w:val="15"/>
                <w:lang w:val="en-US" w:eastAsia="zh-CN"/>
              </w:rPr>
              <w:t>6</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sz w:val="15"/>
                <w:szCs w:val="15"/>
              </w:rPr>
            </w:pPr>
            <w:r>
              <w:rPr>
                <w:sz w:val="15"/>
                <w:szCs w:val="15"/>
              </w:rPr>
              <w:t>茶几</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sz w:val="15"/>
                <w:szCs w:val="15"/>
              </w:rPr>
            </w:pPr>
            <w:r>
              <w:rPr>
                <w:sz w:val="15"/>
                <w:szCs w:val="15"/>
              </w:rPr>
              <w:t>1</w:t>
            </w:r>
            <w:r>
              <w:rPr>
                <w:rFonts w:hint="eastAsia"/>
                <w:sz w:val="15"/>
                <w:szCs w:val="15"/>
                <w:lang w:val="en-US" w:eastAsia="zh-CN"/>
              </w:rPr>
              <w:t>2</w:t>
            </w:r>
            <w:r>
              <w:rPr>
                <w:sz w:val="15"/>
                <w:szCs w:val="15"/>
              </w:rPr>
              <w:t>00*700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1.基材：柏木、橡胶木、松木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default"/>
                <w:sz w:val="15"/>
                <w:szCs w:val="15"/>
                <w:lang w:val="en-US" w:eastAsia="zh-CN"/>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sz w:val="15"/>
                <w:szCs w:val="15"/>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sz w:val="15"/>
                <w:szCs w:val="15"/>
                <w:lang w:val="en-US" w:eastAsia="zh-CN"/>
              </w:rPr>
            </w:pPr>
            <w:r>
              <w:rPr>
                <w:rFonts w:hint="eastAsia" w:eastAsia="宋体"/>
                <w:sz w:val="15"/>
                <w:szCs w:val="15"/>
                <w:lang w:val="en-US" w:eastAsia="zh-CN"/>
              </w:rPr>
              <w:t>5</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7" w:hRule="atLeast"/>
          <w:jc w:val="center"/>
        </w:trPr>
        <w:tc>
          <w:tcPr>
            <w:tcW w:w="37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7</w:t>
            </w:r>
          </w:p>
        </w:tc>
        <w:tc>
          <w:tcPr>
            <w:tcW w:w="74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餐桌（圆桌）</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2000 mm 直径</w:t>
            </w:r>
          </w:p>
        </w:tc>
        <w:tc>
          <w:tcPr>
            <w:tcW w:w="3144"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1.基材：“大亚”、“福人”、“丰林”或同等级品牌中密度纤维板；E1级环保标准；</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2.面材：10mm厚实木木皮；</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3.油漆：“华润”、“大宝”、“嘉宝莉”或同等级品牌油漆，UV全自动生产线封闭涂装；漆膜表面硬度达到3H，耐磨等级达到1级</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4.五金件：德国BMB、海蒂斯、海福乐</w:t>
            </w:r>
          </w:p>
        </w:tc>
        <w:tc>
          <w:tcPr>
            <w:tcW w:w="47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1</w:t>
            </w:r>
          </w:p>
        </w:tc>
        <w:tc>
          <w:tcPr>
            <w:tcW w:w="620"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sz w:val="15"/>
                <w:szCs w:val="15"/>
                <w:lang w:val="en-US" w:eastAsia="zh-CN"/>
              </w:rPr>
            </w:pPr>
            <w:r>
              <w:rPr>
                <w:rFonts w:hint="eastAsia"/>
                <w:sz w:val="15"/>
                <w:szCs w:val="15"/>
                <w:lang w:val="en-US" w:eastAsia="zh-CN"/>
              </w:rPr>
              <w:t>1500mm直径</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1</w:t>
            </w:r>
          </w:p>
        </w:tc>
        <w:tc>
          <w:tcPr>
            <w:tcW w:w="62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692"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3" w:hRule="atLeast"/>
          <w:jc w:val="center"/>
        </w:trPr>
        <w:tc>
          <w:tcPr>
            <w:tcW w:w="37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4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sz w:val="15"/>
                <w:szCs w:val="15"/>
                <w:lang w:val="en-US" w:eastAsia="zh-CN"/>
              </w:rPr>
            </w:pPr>
            <w:r>
              <w:rPr>
                <w:rFonts w:hint="eastAsia"/>
                <w:sz w:val="15"/>
                <w:szCs w:val="15"/>
                <w:lang w:val="en-US" w:eastAsia="zh-CN"/>
              </w:rPr>
              <w:t>1300 mm直径</w:t>
            </w:r>
          </w:p>
        </w:tc>
        <w:tc>
          <w:tcPr>
            <w:tcW w:w="3144"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p>
        </w:tc>
        <w:tc>
          <w:tcPr>
            <w:tcW w:w="47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eastAsia="zh-CN"/>
              </w:rPr>
            </w:pPr>
            <w:r>
              <w:rPr>
                <w:rFonts w:hint="eastAsia"/>
                <w:sz w:val="15"/>
                <w:szCs w:val="15"/>
                <w:lang w:val="en-US" w:eastAsia="zh-CN"/>
              </w:rPr>
              <w:t>1</w:t>
            </w:r>
          </w:p>
        </w:tc>
        <w:tc>
          <w:tcPr>
            <w:tcW w:w="620"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c>
          <w:tcPr>
            <w:tcW w:w="692"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8</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sz w:val="15"/>
                <w:szCs w:val="15"/>
                <w:lang w:val="en-US" w:eastAsia="zh-CN"/>
              </w:rPr>
            </w:pPr>
            <w:r>
              <w:rPr>
                <w:rFonts w:hint="eastAsia"/>
                <w:sz w:val="15"/>
                <w:szCs w:val="15"/>
                <w:lang w:val="en-US" w:eastAsia="zh-CN"/>
              </w:rPr>
              <w:t>圆桌椅</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sz w:val="15"/>
                <w:szCs w:val="15"/>
              </w:rPr>
            </w:pPr>
            <w:r>
              <w:rPr>
                <w:rFonts w:hint="eastAsia"/>
                <w:sz w:val="15"/>
                <w:szCs w:val="15"/>
                <w:lang w:val="en-US" w:eastAsia="zh-CN"/>
              </w:rPr>
              <w:t>常规尺寸</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1.基材：柏木、橡胶木、松木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sz w:val="15"/>
                <w:szCs w:val="15"/>
                <w:lang w:val="en-US" w:eastAsia="zh-CN"/>
              </w:rPr>
            </w:pPr>
            <w:r>
              <w:rPr>
                <w:rFonts w:hint="eastAsia"/>
                <w:sz w:val="15"/>
                <w:szCs w:val="15"/>
                <w:lang w:val="en-US" w:eastAsia="zh-CN"/>
              </w:rPr>
              <w:t>把</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eastAsia="宋体"/>
                <w:sz w:val="15"/>
                <w:szCs w:val="15"/>
                <w:lang w:val="en-US" w:eastAsia="zh-CN"/>
              </w:rPr>
              <w:t>30</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9</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sz w:val="15"/>
                <w:szCs w:val="15"/>
                <w:lang w:val="en-US" w:eastAsia="zh-CN"/>
              </w:rPr>
            </w:pPr>
            <w:r>
              <w:rPr>
                <w:rFonts w:hint="eastAsia"/>
                <w:sz w:val="15"/>
                <w:szCs w:val="15"/>
                <w:lang w:val="en-US" w:eastAsia="zh-CN"/>
              </w:rPr>
              <w:t>备餐柜</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sz w:val="15"/>
                <w:szCs w:val="15"/>
                <w:lang w:val="en-US" w:eastAsia="zh-CN"/>
              </w:rPr>
            </w:pPr>
            <w:r>
              <w:rPr>
                <w:rFonts w:hint="eastAsia"/>
                <w:sz w:val="15"/>
                <w:szCs w:val="15"/>
                <w:lang w:val="en-US" w:eastAsia="zh-CN"/>
              </w:rPr>
              <w:t>800</w:t>
            </w:r>
            <w:r>
              <w:rPr>
                <w:rFonts w:hint="eastAsia" w:ascii="宋体" w:hAnsi="宋体" w:eastAsia="宋体" w:cs="宋体"/>
                <w:sz w:val="15"/>
                <w:szCs w:val="15"/>
                <w:lang w:val="en-US" w:eastAsia="zh-CN"/>
              </w:rPr>
              <w:t>*</w:t>
            </w:r>
            <w:r>
              <w:rPr>
                <w:rFonts w:hint="eastAsia"/>
                <w:sz w:val="15"/>
                <w:szCs w:val="15"/>
                <w:lang w:val="en-US" w:eastAsia="zh-CN"/>
              </w:rPr>
              <w:t>400</w:t>
            </w:r>
            <w:r>
              <w:rPr>
                <w:rFonts w:hint="eastAsia" w:ascii="宋体" w:hAnsi="宋体" w:eastAsia="宋体" w:cs="宋体"/>
                <w:sz w:val="15"/>
                <w:szCs w:val="15"/>
                <w:lang w:val="en-US" w:eastAsia="zh-CN"/>
              </w:rPr>
              <w:t>*</w:t>
            </w:r>
            <w:r>
              <w:rPr>
                <w:rFonts w:hint="eastAsia"/>
                <w:sz w:val="15"/>
                <w:szCs w:val="15"/>
                <w:lang w:val="en-US" w:eastAsia="zh-CN"/>
              </w:rPr>
              <w:t>800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1.基材：柏木、橡胶木、松木</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w:t>
            </w:r>
            <w:r>
              <w:rPr>
                <w:rFonts w:hint="eastAsia"/>
                <w:sz w:val="15"/>
                <w:szCs w:val="15"/>
                <w:lang w:eastAsia="zh-CN"/>
              </w:rPr>
              <w:t>油漆</w:t>
            </w:r>
            <w:r>
              <w:rPr>
                <w:sz w:val="15"/>
                <w:szCs w:val="15"/>
              </w:rPr>
              <w:t>：</w:t>
            </w:r>
            <w:r>
              <w:rPr>
                <w:rFonts w:hint="eastAsia"/>
                <w:sz w:val="15"/>
                <w:szCs w:val="15"/>
                <w:lang w:val="en-US" w:eastAsia="zh-CN"/>
              </w:rPr>
              <w:t>环保“水性漆”</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default"/>
                <w:sz w:val="15"/>
                <w:szCs w:val="15"/>
                <w:lang w:val="en-US" w:eastAsia="zh-CN"/>
              </w:rPr>
            </w:pPr>
            <w:r>
              <w:rPr>
                <w:rFonts w:hint="eastAsia"/>
                <w:sz w:val="15"/>
                <w:szCs w:val="15"/>
                <w:lang w:val="en-US" w:eastAsia="zh-CN"/>
              </w:rPr>
              <w:t>3.五金件：德国BMB、海蒂斯、海福</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sz w:val="15"/>
                <w:szCs w:val="15"/>
                <w:lang w:val="en-US" w:eastAsia="zh-CN"/>
              </w:rPr>
            </w:pPr>
            <w:r>
              <w:rPr>
                <w:rFonts w:hint="eastAsia"/>
                <w:sz w:val="15"/>
                <w:szCs w:val="15"/>
                <w:lang w:val="en-US" w:eastAsia="zh-CN"/>
              </w:rPr>
              <w:t>个</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eastAsia="宋体"/>
                <w:sz w:val="15"/>
                <w:szCs w:val="15"/>
                <w:lang w:val="en-US" w:eastAsia="zh-CN"/>
              </w:rPr>
            </w:pPr>
            <w:r>
              <w:rPr>
                <w:rFonts w:hint="eastAsia" w:eastAsia="宋体"/>
                <w:sz w:val="15"/>
                <w:szCs w:val="15"/>
                <w:lang w:val="en-US" w:eastAsia="zh-CN"/>
              </w:rPr>
              <w:t>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4"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10</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员工餐桌</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sz w:val="15"/>
                <w:szCs w:val="15"/>
                <w:lang w:val="en-US" w:eastAsia="zh-CN"/>
              </w:rPr>
            </w:pPr>
            <w:r>
              <w:rPr>
                <w:rFonts w:hint="eastAsia"/>
                <w:sz w:val="15"/>
                <w:szCs w:val="15"/>
                <w:lang w:val="en-US" w:eastAsia="zh-CN"/>
              </w:rPr>
              <w:t>（方桌）</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sz w:val="15"/>
                <w:szCs w:val="15"/>
                <w:lang w:val="en-US"/>
              </w:rPr>
            </w:pPr>
            <w:r>
              <w:rPr>
                <w:rFonts w:hint="eastAsia"/>
                <w:sz w:val="15"/>
                <w:szCs w:val="15"/>
                <w:lang w:val="en-US" w:eastAsia="zh-CN"/>
              </w:rPr>
              <w:t>600</w:t>
            </w:r>
            <w:r>
              <w:rPr>
                <w:rFonts w:hint="eastAsia" w:ascii="宋体" w:hAnsi="宋体" w:eastAsia="宋体" w:cs="宋体"/>
                <w:sz w:val="15"/>
                <w:szCs w:val="15"/>
                <w:lang w:val="en-US" w:eastAsia="zh-CN"/>
              </w:rPr>
              <w:t>*</w:t>
            </w:r>
            <w:r>
              <w:rPr>
                <w:rFonts w:hint="eastAsia"/>
                <w:sz w:val="15"/>
                <w:szCs w:val="15"/>
                <w:lang w:val="en-US" w:eastAsia="zh-CN"/>
              </w:rPr>
              <w:t>700</w:t>
            </w:r>
            <w:r>
              <w:rPr>
                <w:rFonts w:hint="eastAsia" w:ascii="宋体" w:hAnsi="宋体" w:eastAsia="宋体" w:cs="宋体"/>
                <w:sz w:val="15"/>
                <w:szCs w:val="15"/>
                <w:lang w:val="en-US" w:eastAsia="zh-CN"/>
              </w:rPr>
              <w:t>*750</w:t>
            </w:r>
          </w:p>
        </w:tc>
        <w:tc>
          <w:tcPr>
            <w:tcW w:w="314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1.基材：“大亚”、“福人”、“丰林”或同等级品牌中密度纤维板；E1级环保标准；</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2.面材：10mm厚实木木皮；</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sz w:val="15"/>
                <w:szCs w:val="15"/>
                <w:lang w:val="en-US" w:eastAsia="zh-CN"/>
              </w:rPr>
            </w:pPr>
            <w:r>
              <w:rPr>
                <w:rFonts w:hint="eastAsia"/>
                <w:sz w:val="15"/>
                <w:szCs w:val="15"/>
                <w:lang w:val="en-US" w:eastAsia="zh-CN"/>
              </w:rPr>
              <w:t>3.油漆：“华润”、“大宝”、“嘉宝莉”或同等级品牌油漆，UV全自动生产线封闭涂装；漆膜表面硬度达到3H，耐磨等级达到1级</w:t>
            </w:r>
          </w:p>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default"/>
                <w:sz w:val="15"/>
                <w:szCs w:val="15"/>
                <w:lang w:val="en-US" w:eastAsia="zh-CN"/>
              </w:rPr>
            </w:pPr>
            <w:r>
              <w:rPr>
                <w:rFonts w:hint="eastAsia"/>
                <w:sz w:val="15"/>
                <w:szCs w:val="15"/>
                <w:lang w:val="en-US" w:eastAsia="zh-CN"/>
              </w:rPr>
              <w:t>4.脚架不锈钢</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张</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22</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11</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餐椅</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460</w:t>
            </w:r>
            <w:r>
              <w:rPr>
                <w:rFonts w:hint="eastAsia" w:ascii="宋体" w:hAnsi="宋体" w:eastAsia="宋体" w:cs="宋体"/>
                <w:sz w:val="15"/>
                <w:szCs w:val="15"/>
                <w:lang w:val="en-US" w:eastAsia="zh-CN"/>
              </w:rPr>
              <w:t>*</w:t>
            </w:r>
            <w:r>
              <w:rPr>
                <w:rFonts w:hint="eastAsia"/>
                <w:sz w:val="15"/>
                <w:szCs w:val="15"/>
                <w:lang w:val="en-US" w:eastAsia="zh-CN"/>
              </w:rPr>
              <w:t>500</w:t>
            </w:r>
            <w:r>
              <w:rPr>
                <w:rFonts w:hint="eastAsia" w:ascii="宋体" w:hAnsi="宋体" w:eastAsia="宋体" w:cs="宋体"/>
                <w:sz w:val="15"/>
                <w:szCs w:val="15"/>
                <w:lang w:val="en-US" w:eastAsia="zh-CN"/>
              </w:rPr>
              <w:t>*</w:t>
            </w:r>
            <w:r>
              <w:rPr>
                <w:rFonts w:hint="eastAsia"/>
                <w:sz w:val="15"/>
                <w:szCs w:val="15"/>
                <w:lang w:val="en-US" w:eastAsia="zh-CN"/>
              </w:rPr>
              <w:t>800</w:t>
            </w:r>
          </w:p>
        </w:tc>
        <w:tc>
          <w:tcPr>
            <w:tcW w:w="3144" w:type="dxa"/>
            <w:tcBorders>
              <w:tl2br w:val="nil"/>
              <w:tr2bl w:val="nil"/>
            </w:tcBorders>
            <w:noWrap w:val="0"/>
            <w:vAlign w:val="center"/>
          </w:tcPr>
          <w:p>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sz w:val="15"/>
                <w:szCs w:val="15"/>
                <w:lang w:val="en-US" w:eastAsia="zh-CN"/>
              </w:rPr>
            </w:pPr>
            <w:r>
              <w:rPr>
                <w:rFonts w:hint="eastAsia"/>
                <w:sz w:val="15"/>
                <w:szCs w:val="15"/>
                <w:lang w:val="en-US" w:eastAsia="zh-CN"/>
              </w:rPr>
              <w:t>1.PP（聚丙烯）和GF玻纤料配比合成树脂一体注塑成型。强度高韧性好，性能稳定，环保无臭、无毒  2.钢脚钢架Ø19*1.5采用粉体静电黑色喷塑 3.承重150公斤左右</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把</w:t>
            </w: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sz w:val="15"/>
                <w:szCs w:val="15"/>
                <w:lang w:val="en-US" w:eastAsia="zh-CN"/>
              </w:rPr>
              <w:t>44</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12</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val="en-US" w:eastAsia="zh-CN"/>
              </w:rPr>
            </w:pPr>
            <w:r>
              <w:rPr>
                <w:rFonts w:hint="eastAsia"/>
                <w:sz w:val="15"/>
                <w:szCs w:val="15"/>
                <w:lang w:val="en-US" w:eastAsia="zh-CN"/>
              </w:rPr>
              <w:t>卧室椅</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p>
        </w:tc>
        <w:tc>
          <w:tcPr>
            <w:tcW w:w="3144" w:type="dxa"/>
            <w:tcBorders>
              <w:tl2br w:val="nil"/>
              <w:tr2bl w:val="nil"/>
            </w:tcBorders>
            <w:noWrap w:val="0"/>
            <w:vAlign w:val="center"/>
          </w:tcPr>
          <w:p>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default"/>
                <w:sz w:val="15"/>
                <w:szCs w:val="15"/>
                <w:lang w:val="en-US" w:eastAsia="zh-CN"/>
              </w:rPr>
            </w:pPr>
            <w:r>
              <w:rPr>
                <w:rFonts w:hint="eastAsia"/>
                <w:sz w:val="15"/>
                <w:szCs w:val="15"/>
                <w:lang w:val="en-US" w:eastAsia="zh-CN"/>
              </w:rPr>
              <w:t>1.椅子基材：科技布软包、</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63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37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13</w:t>
            </w:r>
          </w:p>
        </w:tc>
        <w:tc>
          <w:tcPr>
            <w:tcW w:w="74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sz w:val="15"/>
                <w:szCs w:val="15"/>
                <w:lang w:val="en-US" w:eastAsia="zh-CN"/>
              </w:rPr>
            </w:pPr>
            <w:r>
              <w:rPr>
                <w:rFonts w:hint="eastAsia"/>
                <w:sz w:val="15"/>
                <w:szCs w:val="15"/>
                <w:lang w:val="en-US" w:eastAsia="zh-CN"/>
              </w:rPr>
              <w:t>卧室茶几</w:t>
            </w:r>
          </w:p>
        </w:tc>
        <w:tc>
          <w:tcPr>
            <w:tcW w:w="132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eastAsia="宋体"/>
                <w:sz w:val="15"/>
                <w:szCs w:val="15"/>
                <w:lang w:val="en-US" w:eastAsia="zh-CN"/>
              </w:rPr>
            </w:pPr>
            <w:r>
              <w:rPr>
                <w:rFonts w:hint="eastAsia"/>
                <w:sz w:val="15"/>
                <w:szCs w:val="15"/>
                <w:lang w:val="en-US" w:eastAsia="zh-CN"/>
              </w:rPr>
              <w:t>600</w:t>
            </w:r>
          </w:p>
        </w:tc>
        <w:tc>
          <w:tcPr>
            <w:tcW w:w="3144" w:type="dxa"/>
            <w:tcBorders>
              <w:tl2br w:val="nil"/>
              <w:tr2bl w:val="nil"/>
            </w:tcBorders>
            <w:noWrap w:val="0"/>
            <w:vAlign w:val="center"/>
          </w:tcPr>
          <w:p>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default"/>
                <w:sz w:val="15"/>
                <w:szCs w:val="15"/>
                <w:lang w:val="en-US" w:eastAsia="zh-CN"/>
              </w:rPr>
            </w:pPr>
            <w:r>
              <w:rPr>
                <w:rFonts w:hint="eastAsia"/>
                <w:sz w:val="15"/>
                <w:szCs w:val="15"/>
                <w:lang w:val="en-US" w:eastAsia="zh-CN"/>
              </w:rPr>
              <w:t>基材：岩板</w:t>
            </w:r>
            <w:r>
              <w:rPr>
                <w:rFonts w:hint="eastAsia" w:ascii="宋体" w:hAnsi="宋体" w:eastAsia="宋体" w:cs="宋体"/>
                <w:sz w:val="15"/>
                <w:szCs w:val="15"/>
                <w:lang w:val="en-US" w:eastAsia="zh-CN"/>
              </w:rPr>
              <w:t>＋</w:t>
            </w:r>
            <w:r>
              <w:rPr>
                <w:rFonts w:hint="eastAsia"/>
                <w:sz w:val="15"/>
                <w:szCs w:val="15"/>
                <w:lang w:val="en-US" w:eastAsia="zh-CN"/>
              </w:rPr>
              <w:t>金属脚架</w:t>
            </w:r>
          </w:p>
        </w:tc>
        <w:tc>
          <w:tcPr>
            <w:tcW w:w="47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sz w:val="15"/>
                <w:szCs w:val="15"/>
              </w:rPr>
            </w:pPr>
          </w:p>
        </w:tc>
        <w:tc>
          <w:tcPr>
            <w:tcW w:w="78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eastAsia="宋体"/>
                <w:sz w:val="15"/>
                <w:szCs w:val="15"/>
                <w:lang w:val="en-US" w:eastAsia="zh-CN"/>
              </w:rPr>
            </w:pPr>
            <w:r>
              <w:rPr>
                <w:rFonts w:hint="eastAsia" w:eastAsia="宋体"/>
                <w:sz w:val="15"/>
                <w:szCs w:val="15"/>
                <w:lang w:val="en-US" w:eastAsia="zh-CN"/>
              </w:rPr>
              <w:t>13</w:t>
            </w:r>
          </w:p>
        </w:tc>
        <w:tc>
          <w:tcPr>
            <w:tcW w:w="62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c>
          <w:tcPr>
            <w:tcW w:w="69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eastAsia="宋体"/>
                <w:sz w:val="15"/>
                <w:szCs w:val="15"/>
                <w:lang w:eastAsia="zh-CN"/>
              </w:rPr>
            </w:pPr>
          </w:p>
        </w:tc>
      </w:tr>
      <w:bookmarkEnd w:id="248"/>
      <w:bookmarkEnd w:id="316"/>
    </w:tbl>
    <w:p>
      <w:pPr>
        <w:rPr>
          <w:rFonts w:hint="eastAsia" w:ascii="宋体" w:hAnsi="宋体"/>
          <w:b/>
          <w:bCs/>
          <w:sz w:val="30"/>
          <w:szCs w:val="30"/>
        </w:rPr>
      </w:pPr>
      <w:r>
        <w:rPr>
          <w:rFonts w:hint="eastAsia" w:ascii="宋体" w:hAnsi="宋体"/>
          <w:b/>
          <w:bCs/>
          <w:sz w:val="30"/>
          <w:szCs w:val="30"/>
        </w:rPr>
        <w:br w:type="page"/>
      </w:r>
    </w:p>
    <w:p>
      <w:pPr>
        <w:kinsoku/>
        <w:overflowPunct/>
        <w:topLinePunct w:val="0"/>
        <w:bidi w:val="0"/>
        <w:spacing w:line="560" w:lineRule="exact"/>
        <w:ind w:right="375"/>
        <w:jc w:val="center"/>
        <w:rPr>
          <w:rFonts w:ascii="宋体" w:hAnsi="宋体"/>
          <w:b/>
          <w:bCs/>
          <w:sz w:val="52"/>
          <w:szCs w:val="52"/>
        </w:rPr>
      </w:pPr>
      <w:r>
        <w:rPr>
          <w:rFonts w:hint="eastAsia" w:ascii="宋体" w:hAnsi="宋体"/>
          <w:b/>
          <w:bCs/>
          <w:sz w:val="52"/>
          <w:szCs w:val="52"/>
          <w:u w:val="single"/>
          <w:lang w:val="en-US" w:eastAsia="zh-CN"/>
        </w:rPr>
        <w:t>广元燃机工程建设期生活用房家具采购</w:t>
      </w:r>
      <w:r>
        <w:rPr>
          <w:rFonts w:hint="eastAsia" w:ascii="宋体" w:hAnsi="宋体"/>
          <w:b/>
          <w:bCs/>
          <w:sz w:val="52"/>
          <w:szCs w:val="52"/>
          <w:u w:val="none"/>
          <w:lang w:val="en-US" w:eastAsia="zh-CN"/>
        </w:rPr>
        <w:t>项</w:t>
      </w:r>
      <w:r>
        <w:rPr>
          <w:rFonts w:hint="eastAsia" w:ascii="宋体" w:hAnsi="宋体"/>
          <w:b/>
          <w:bCs/>
          <w:sz w:val="52"/>
          <w:szCs w:val="52"/>
        </w:rPr>
        <w:t>目</w:t>
      </w:r>
    </w:p>
    <w:p>
      <w:pPr>
        <w:kinsoku/>
        <w:overflowPunct/>
        <w:topLinePunct w:val="0"/>
        <w:bidi w:val="0"/>
        <w:spacing w:line="560" w:lineRule="exact"/>
        <w:jc w:val="center"/>
        <w:rPr>
          <w:rFonts w:hint="eastAsia" w:ascii="宋体" w:hAnsi="宋体"/>
          <w:b/>
          <w:bCs/>
          <w:sz w:val="52"/>
          <w:szCs w:val="52"/>
        </w:rPr>
      </w:pPr>
    </w:p>
    <w:p>
      <w:pPr>
        <w:keepNext w:val="0"/>
        <w:keepLines w:val="0"/>
        <w:pageBreakBefore w:val="0"/>
        <w:widowControl w:val="0"/>
        <w:tabs>
          <w:tab w:val="center" w:pos="4320"/>
        </w:tabs>
        <w:kinsoku/>
        <w:wordWrap/>
        <w:overflowPunct/>
        <w:topLinePunct w:val="0"/>
        <w:autoSpaceDE/>
        <w:autoSpaceDN/>
        <w:bidi w:val="0"/>
        <w:adjustRightInd/>
        <w:snapToGrid/>
        <w:spacing w:line="240" w:lineRule="auto"/>
        <w:jc w:val="left"/>
        <w:textAlignment w:val="auto"/>
        <w:rPr>
          <w:rFonts w:ascii="宋体" w:hAnsi="宋体"/>
          <w:b/>
          <w:bCs/>
          <w:sz w:val="72"/>
          <w:szCs w:val="72"/>
        </w:rPr>
      </w:pPr>
      <w:r>
        <w:rPr>
          <w:rFonts w:ascii="宋体" w:hAnsi="宋体"/>
          <w:b/>
          <w:bCs/>
          <w:sz w:val="44"/>
          <w:szCs w:val="44"/>
        </w:rPr>
        <w:tab/>
      </w:r>
      <w:r>
        <w:rPr>
          <w:rFonts w:hint="eastAsia" w:ascii="宋体" w:hAnsi="宋体"/>
          <w:b/>
          <w:bCs/>
          <w:sz w:val="72"/>
          <w:szCs w:val="72"/>
        </w:rPr>
        <w:t>竞</w:t>
      </w:r>
    </w:p>
    <w:p>
      <w:pPr>
        <w:keepNext w:val="0"/>
        <w:keepLines w:val="0"/>
        <w:pageBreakBefore w:val="0"/>
        <w:widowControl w:val="0"/>
        <w:tabs>
          <w:tab w:val="center" w:pos="4320"/>
        </w:tabs>
        <w:kinsoku/>
        <w:wordWrap/>
        <w:overflowPunct/>
        <w:topLinePunct w:val="0"/>
        <w:autoSpaceDE/>
        <w:autoSpaceDN/>
        <w:bidi w:val="0"/>
        <w:adjustRightInd/>
        <w:snapToGrid/>
        <w:spacing w:line="240" w:lineRule="auto"/>
        <w:jc w:val="center"/>
        <w:textAlignment w:val="auto"/>
        <w:rPr>
          <w:rFonts w:ascii="宋体" w:hAnsi="宋体"/>
          <w:b/>
          <w:bCs/>
          <w:sz w:val="72"/>
          <w:szCs w:val="72"/>
        </w:rPr>
      </w:pPr>
      <w:r>
        <w:rPr>
          <w:rFonts w:hint="eastAsia" w:ascii="宋体" w:hAnsi="宋体"/>
          <w:b/>
          <w:bCs/>
          <w:sz w:val="72"/>
          <w:szCs w:val="72"/>
        </w:rPr>
        <w:t>争</w:t>
      </w:r>
    </w:p>
    <w:p>
      <w:pPr>
        <w:keepNext w:val="0"/>
        <w:keepLines w:val="0"/>
        <w:pageBreakBefore w:val="0"/>
        <w:widowControl w:val="0"/>
        <w:tabs>
          <w:tab w:val="center" w:pos="4320"/>
        </w:tabs>
        <w:kinsoku/>
        <w:wordWrap/>
        <w:overflowPunct/>
        <w:topLinePunct w:val="0"/>
        <w:autoSpaceDE/>
        <w:autoSpaceDN/>
        <w:bidi w:val="0"/>
        <w:adjustRightInd/>
        <w:snapToGrid/>
        <w:spacing w:line="240" w:lineRule="auto"/>
        <w:jc w:val="center"/>
        <w:textAlignment w:val="auto"/>
        <w:rPr>
          <w:rFonts w:ascii="宋体" w:hAnsi="宋体"/>
          <w:b/>
          <w:bCs/>
          <w:sz w:val="72"/>
          <w:szCs w:val="72"/>
        </w:rPr>
      </w:pPr>
      <w:r>
        <w:rPr>
          <w:rFonts w:hint="eastAsia" w:ascii="宋体" w:hAnsi="宋体"/>
          <w:b/>
          <w:bCs/>
          <w:sz w:val="72"/>
          <w:szCs w:val="72"/>
        </w:rPr>
        <w:t>性</w:t>
      </w:r>
    </w:p>
    <w:p>
      <w:pPr>
        <w:keepNext w:val="0"/>
        <w:keepLines w:val="0"/>
        <w:pageBreakBefore w:val="0"/>
        <w:widowControl w:val="0"/>
        <w:tabs>
          <w:tab w:val="center" w:pos="4320"/>
        </w:tabs>
        <w:kinsoku/>
        <w:wordWrap/>
        <w:overflowPunct/>
        <w:topLinePunct w:val="0"/>
        <w:autoSpaceDE/>
        <w:autoSpaceDN/>
        <w:bidi w:val="0"/>
        <w:adjustRightInd/>
        <w:snapToGrid/>
        <w:spacing w:line="240" w:lineRule="auto"/>
        <w:jc w:val="center"/>
        <w:textAlignment w:val="auto"/>
        <w:rPr>
          <w:rFonts w:ascii="宋体" w:hAnsi="宋体"/>
          <w:b/>
          <w:bCs/>
          <w:sz w:val="72"/>
          <w:szCs w:val="72"/>
        </w:rPr>
      </w:pPr>
      <w:r>
        <w:rPr>
          <w:rFonts w:ascii="宋体" w:hAnsi="宋体"/>
          <w:b/>
          <w:bCs/>
          <w:sz w:val="72"/>
          <w:szCs w:val="72"/>
        </w:rPr>
        <w:t>谈</w:t>
      </w:r>
    </w:p>
    <w:p>
      <w:pPr>
        <w:keepNext w:val="0"/>
        <w:keepLines w:val="0"/>
        <w:pageBreakBefore w:val="0"/>
        <w:widowControl w:val="0"/>
        <w:tabs>
          <w:tab w:val="center" w:pos="4320"/>
        </w:tabs>
        <w:kinsoku/>
        <w:wordWrap/>
        <w:overflowPunct/>
        <w:topLinePunct w:val="0"/>
        <w:autoSpaceDE/>
        <w:autoSpaceDN/>
        <w:bidi w:val="0"/>
        <w:adjustRightInd/>
        <w:snapToGrid/>
        <w:spacing w:line="240" w:lineRule="auto"/>
        <w:jc w:val="center"/>
        <w:textAlignment w:val="auto"/>
        <w:rPr>
          <w:rFonts w:ascii="宋体" w:hAnsi="宋体"/>
          <w:b/>
          <w:bCs/>
          <w:sz w:val="72"/>
          <w:szCs w:val="72"/>
        </w:rPr>
      </w:pPr>
      <w:r>
        <w:rPr>
          <w:rFonts w:ascii="宋体" w:hAnsi="宋体"/>
          <w:b/>
          <w:bCs/>
          <w:sz w:val="72"/>
          <w:szCs w:val="72"/>
        </w:rPr>
        <w:t>判</w:t>
      </w:r>
    </w:p>
    <w:p>
      <w:pPr>
        <w:keepNext w:val="0"/>
        <w:keepLines w:val="0"/>
        <w:pageBreakBefore w:val="0"/>
        <w:widowControl w:val="0"/>
        <w:tabs>
          <w:tab w:val="center" w:pos="4320"/>
        </w:tabs>
        <w:kinsoku/>
        <w:wordWrap/>
        <w:overflowPunct/>
        <w:topLinePunct w:val="0"/>
        <w:autoSpaceDE/>
        <w:autoSpaceDN/>
        <w:bidi w:val="0"/>
        <w:adjustRightInd/>
        <w:snapToGrid/>
        <w:spacing w:line="240" w:lineRule="auto"/>
        <w:jc w:val="center"/>
        <w:textAlignment w:val="auto"/>
        <w:rPr>
          <w:rFonts w:ascii="宋体" w:hAnsi="宋体"/>
          <w:b/>
          <w:bCs/>
          <w:sz w:val="72"/>
          <w:szCs w:val="72"/>
        </w:rPr>
      </w:pPr>
      <w:r>
        <w:rPr>
          <w:rFonts w:hint="eastAsia" w:ascii="宋体" w:hAnsi="宋体"/>
          <w:b/>
          <w:bCs/>
          <w:sz w:val="72"/>
          <w:szCs w:val="72"/>
        </w:rPr>
        <w:t>报</w:t>
      </w:r>
    </w:p>
    <w:p>
      <w:pPr>
        <w:keepNext w:val="0"/>
        <w:keepLines w:val="0"/>
        <w:pageBreakBefore w:val="0"/>
        <w:widowControl w:val="0"/>
        <w:tabs>
          <w:tab w:val="center" w:pos="4320"/>
        </w:tabs>
        <w:kinsoku/>
        <w:wordWrap/>
        <w:overflowPunct/>
        <w:topLinePunct w:val="0"/>
        <w:autoSpaceDE/>
        <w:autoSpaceDN/>
        <w:bidi w:val="0"/>
        <w:adjustRightInd/>
        <w:snapToGrid/>
        <w:spacing w:line="240" w:lineRule="auto"/>
        <w:jc w:val="center"/>
        <w:textAlignment w:val="auto"/>
        <w:rPr>
          <w:rFonts w:ascii="宋体" w:hAnsi="宋体"/>
          <w:b/>
          <w:bCs/>
          <w:sz w:val="72"/>
          <w:szCs w:val="72"/>
        </w:rPr>
      </w:pPr>
      <w:r>
        <w:rPr>
          <w:rFonts w:hint="eastAsia" w:ascii="宋体" w:hAnsi="宋体"/>
          <w:b/>
          <w:bCs/>
          <w:sz w:val="72"/>
          <w:szCs w:val="72"/>
        </w:rPr>
        <w:t>告</w:t>
      </w:r>
    </w:p>
    <w:p>
      <w:pPr>
        <w:tabs>
          <w:tab w:val="center" w:pos="4320"/>
        </w:tabs>
        <w:kinsoku/>
        <w:overflowPunct/>
        <w:topLinePunct w:val="0"/>
        <w:bidi w:val="0"/>
        <w:spacing w:line="560" w:lineRule="exact"/>
        <w:jc w:val="center"/>
        <w:rPr>
          <w:rFonts w:hint="eastAsia" w:ascii="宋体" w:hAnsi="宋体"/>
          <w:b/>
          <w:bCs/>
          <w:sz w:val="72"/>
          <w:szCs w:val="72"/>
        </w:rPr>
      </w:pPr>
    </w:p>
    <w:p>
      <w:pPr>
        <w:widowControl/>
        <w:kinsoku/>
        <w:overflowPunct/>
        <w:topLinePunct w:val="0"/>
        <w:bidi w:val="0"/>
        <w:spacing w:line="560" w:lineRule="exact"/>
        <w:ind w:firstLine="964" w:firstLineChars="300"/>
        <w:jc w:val="left"/>
        <w:rPr>
          <w:rFonts w:ascii="宋体" w:hAnsi="宋体"/>
          <w:b/>
          <w:kern w:val="0"/>
          <w:sz w:val="32"/>
          <w:szCs w:val="32"/>
        </w:rPr>
      </w:pPr>
      <w:r>
        <w:rPr>
          <w:rFonts w:hint="eastAsia" w:ascii="宋体" w:hAnsi="宋体"/>
          <w:b/>
          <w:kern w:val="0"/>
          <w:sz w:val="32"/>
          <w:szCs w:val="32"/>
        </w:rPr>
        <w:t>采购人：</w:t>
      </w:r>
      <w:r>
        <w:rPr>
          <w:rFonts w:hint="eastAsia" w:ascii="宋体" w:hAnsi="宋体"/>
          <w:b/>
          <w:kern w:val="0"/>
          <w:sz w:val="32"/>
          <w:szCs w:val="32"/>
          <w:u w:val="single"/>
          <w:lang w:val="en-US" w:eastAsia="zh-CN"/>
        </w:rPr>
        <w:t>四川能投广元燃气发电有限公司</w:t>
      </w:r>
      <w:r>
        <w:rPr>
          <w:rFonts w:hint="eastAsia" w:ascii="宋体" w:hAnsi="宋体"/>
          <w:b/>
          <w:kern w:val="0"/>
          <w:sz w:val="32"/>
          <w:szCs w:val="32"/>
        </w:rPr>
        <w:t xml:space="preserve"> </w:t>
      </w:r>
    </w:p>
    <w:p>
      <w:pPr>
        <w:kinsoku/>
        <w:overflowPunct/>
        <w:topLinePunct w:val="0"/>
        <w:bidi w:val="0"/>
        <w:spacing w:line="560" w:lineRule="exact"/>
        <w:jc w:val="center"/>
        <w:rPr>
          <w:rFonts w:hint="eastAsia" w:ascii="宋体" w:hAnsi="宋体"/>
          <w:b/>
          <w:sz w:val="32"/>
          <w:szCs w:val="32"/>
        </w:rPr>
      </w:pPr>
    </w:p>
    <w:p>
      <w:pPr>
        <w:kinsoku/>
        <w:overflowPunct/>
        <w:topLinePunct w:val="0"/>
        <w:bidi w:val="0"/>
        <w:spacing w:line="560" w:lineRule="exact"/>
        <w:jc w:val="center"/>
        <w:rPr>
          <w:rFonts w:ascii="宋体" w:hAnsi="宋体"/>
          <w:b/>
          <w:sz w:val="32"/>
          <w:szCs w:val="32"/>
        </w:rPr>
      </w:pPr>
      <w:r>
        <w:rPr>
          <w:rFonts w:hint="eastAsia" w:ascii="宋体" w:hAnsi="宋体"/>
          <w:b/>
          <w:sz w:val="32"/>
          <w:szCs w:val="32"/>
        </w:rPr>
        <w:t xml:space="preserve"> </w:t>
      </w:r>
      <w:r>
        <w:rPr>
          <w:rFonts w:ascii="宋体" w:hAnsi="宋体"/>
          <w:b/>
          <w:bCs/>
          <w:sz w:val="32"/>
          <w:szCs w:val="32"/>
          <w:u w:val="single"/>
        </w:rPr>
        <w:t xml:space="preserve"> </w:t>
      </w:r>
      <w:r>
        <w:rPr>
          <w:rFonts w:hint="eastAsia" w:ascii="宋体" w:hAnsi="宋体"/>
          <w:b/>
          <w:bCs/>
          <w:sz w:val="32"/>
          <w:szCs w:val="32"/>
          <w:u w:val="single"/>
          <w:lang w:val="en-US" w:eastAsia="zh-CN"/>
        </w:rPr>
        <w:t>2022</w:t>
      </w:r>
      <w:r>
        <w:rPr>
          <w:rFonts w:ascii="宋体" w:hAnsi="宋体"/>
          <w:b/>
          <w:bCs/>
          <w:sz w:val="32"/>
          <w:szCs w:val="32"/>
          <w:u w:val="single"/>
        </w:rPr>
        <w:t xml:space="preserve"> </w:t>
      </w:r>
      <w:r>
        <w:rPr>
          <w:rFonts w:hint="eastAsia" w:ascii="宋体" w:hAnsi="宋体"/>
          <w:b/>
          <w:sz w:val="32"/>
          <w:szCs w:val="32"/>
        </w:rPr>
        <w:t>年</w:t>
      </w:r>
      <w:r>
        <w:rPr>
          <w:rFonts w:ascii="宋体" w:hAnsi="宋体"/>
          <w:b/>
          <w:bCs/>
          <w:sz w:val="32"/>
          <w:szCs w:val="32"/>
          <w:u w:val="single"/>
        </w:rPr>
        <w:t xml:space="preserve">  </w:t>
      </w:r>
      <w:r>
        <w:rPr>
          <w:rFonts w:hint="eastAsia" w:ascii="宋体" w:hAnsi="宋体"/>
          <w:b/>
          <w:bCs/>
          <w:sz w:val="32"/>
          <w:szCs w:val="32"/>
          <w:u w:val="single"/>
          <w:lang w:val="en-US" w:eastAsia="zh-CN"/>
        </w:rPr>
        <w:t>5</w:t>
      </w:r>
      <w:r>
        <w:rPr>
          <w:rFonts w:ascii="宋体" w:hAnsi="宋体"/>
          <w:b/>
          <w:bCs/>
          <w:sz w:val="32"/>
          <w:szCs w:val="32"/>
          <w:u w:val="single"/>
        </w:rPr>
        <w:t xml:space="preserve">  </w:t>
      </w:r>
      <w:r>
        <w:rPr>
          <w:rFonts w:hint="eastAsia" w:ascii="宋体" w:hAnsi="宋体"/>
          <w:b/>
          <w:sz w:val="32"/>
          <w:szCs w:val="32"/>
        </w:rPr>
        <w:t>月</w:t>
      </w:r>
      <w:r>
        <w:rPr>
          <w:rFonts w:ascii="宋体" w:hAnsi="宋体"/>
          <w:b/>
          <w:bCs/>
          <w:sz w:val="32"/>
          <w:szCs w:val="32"/>
          <w:u w:val="single"/>
        </w:rPr>
        <w:t xml:space="preserve">  </w:t>
      </w:r>
      <w:r>
        <w:rPr>
          <w:rFonts w:hint="eastAsia" w:ascii="宋体" w:hAnsi="宋体"/>
          <w:b/>
          <w:bCs/>
          <w:sz w:val="32"/>
          <w:szCs w:val="32"/>
          <w:u w:val="single"/>
          <w:lang w:val="en-US" w:eastAsia="zh-CN"/>
        </w:rPr>
        <w:t>10</w:t>
      </w:r>
      <w:r>
        <w:rPr>
          <w:rFonts w:ascii="宋体" w:hAnsi="宋体"/>
          <w:b/>
          <w:bCs/>
          <w:sz w:val="32"/>
          <w:szCs w:val="32"/>
          <w:u w:val="single"/>
        </w:rPr>
        <w:t xml:space="preserve">  </w:t>
      </w:r>
      <w:r>
        <w:rPr>
          <w:rFonts w:hint="eastAsia" w:ascii="宋体" w:hAnsi="宋体"/>
          <w:b/>
          <w:sz w:val="32"/>
          <w:szCs w:val="32"/>
        </w:rPr>
        <w:t>日</w:t>
      </w:r>
    </w:p>
    <w:p>
      <w:pPr>
        <w:kinsoku/>
        <w:overflowPunct/>
        <w:topLinePunct w:val="0"/>
        <w:bidi w:val="0"/>
        <w:spacing w:line="560" w:lineRule="exact"/>
        <w:jc w:val="both"/>
        <w:outlineLvl w:val="1"/>
        <w:rPr>
          <w:rFonts w:ascii="宋体" w:hAnsi="宋体"/>
          <w:b/>
          <w:bCs/>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469" w:bottom="1400" w:left="1797"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kinsoku/>
        <w:overflowPunct/>
        <w:topLinePunct w:val="0"/>
        <w:bidi w:val="0"/>
        <w:spacing w:line="560" w:lineRule="exact"/>
        <w:jc w:val="center"/>
        <w:rPr>
          <w:rFonts w:ascii="宋体" w:hAnsi="宋体"/>
          <w:b/>
          <w:bCs/>
          <w:sz w:val="32"/>
          <w:szCs w:val="32"/>
        </w:rPr>
      </w:pPr>
    </w:p>
    <w:p>
      <w:pPr>
        <w:kinsoku/>
        <w:overflowPunct/>
        <w:topLinePunct w:val="0"/>
        <w:bidi w:val="0"/>
        <w:spacing w:line="560" w:lineRule="exact"/>
        <w:jc w:val="center"/>
        <w:rPr>
          <w:rFonts w:ascii="宋体" w:hAnsi="宋体"/>
          <w:b/>
          <w:bCs/>
          <w:sz w:val="32"/>
          <w:szCs w:val="32"/>
        </w:rPr>
      </w:pPr>
      <w:r>
        <w:rPr>
          <w:rFonts w:hint="eastAsia" w:ascii="宋体" w:hAnsi="宋体"/>
          <w:b/>
          <w:bCs/>
          <w:sz w:val="32"/>
          <w:szCs w:val="32"/>
        </w:rPr>
        <w:t>一</w:t>
      </w:r>
      <w:r>
        <w:rPr>
          <w:rFonts w:ascii="宋体" w:hAnsi="宋体"/>
          <w:b/>
          <w:bCs/>
          <w:sz w:val="32"/>
          <w:szCs w:val="32"/>
        </w:rPr>
        <w:t>、</w:t>
      </w:r>
      <w:r>
        <w:rPr>
          <w:rFonts w:hint="eastAsia" w:ascii="宋体" w:hAnsi="宋体"/>
          <w:b/>
          <w:bCs/>
          <w:sz w:val="32"/>
          <w:szCs w:val="32"/>
        </w:rPr>
        <w:t>采购人及监督签到表</w:t>
      </w:r>
    </w:p>
    <w:p>
      <w:pPr>
        <w:kinsoku/>
        <w:overflowPunct/>
        <w:topLinePunct w:val="0"/>
        <w:bidi w:val="0"/>
        <w:spacing w:line="560" w:lineRule="exact"/>
        <w:rPr>
          <w:rFonts w:hint="default" w:ascii="宋体" w:hAnsi="宋体" w:eastAsia="宋体"/>
          <w:szCs w:val="21"/>
          <w:lang w:val="en-US" w:eastAsia="zh-CN"/>
        </w:rPr>
      </w:pPr>
      <w:r>
        <w:rPr>
          <w:rFonts w:hint="eastAsia" w:ascii="宋体" w:hAnsi="宋体"/>
          <w:szCs w:val="21"/>
        </w:rPr>
        <w:t>项目名称：</w:t>
      </w:r>
      <w:r>
        <w:rPr>
          <w:rFonts w:hint="eastAsia" w:ascii="宋体" w:hAnsi="宋体"/>
          <w:szCs w:val="21"/>
          <w:lang w:val="en-US" w:eastAsia="zh-CN"/>
        </w:rPr>
        <w:t>广元燃机工程建设期生活用房家具采购</w:t>
      </w:r>
    </w:p>
    <w:p>
      <w:pPr>
        <w:kinsoku/>
        <w:overflowPunct/>
        <w:topLinePunct w:val="0"/>
        <w:bidi w:val="0"/>
        <w:spacing w:line="560" w:lineRule="exact"/>
        <w:rPr>
          <w:rFonts w:ascii="宋体" w:hAnsi="宋体"/>
          <w:szCs w:val="21"/>
        </w:rPr>
      </w:pPr>
      <w:r>
        <w:rPr>
          <w:rFonts w:hint="eastAsia" w:ascii="宋体" w:hAnsi="宋体"/>
          <w:szCs w:val="21"/>
        </w:rPr>
        <w:t>谈判地点：</w:t>
      </w:r>
      <w:r>
        <w:rPr>
          <w:rFonts w:hint="eastAsia" w:ascii="宋体" w:hAnsi="宋体"/>
          <w:szCs w:val="21"/>
          <w:lang w:val="en-US" w:eastAsia="zh-CN"/>
        </w:rPr>
        <w:t>成都市武侯区天府大道中段279号成达大厦10楼</w:t>
      </w:r>
      <w:r>
        <w:rPr>
          <w:rFonts w:hint="eastAsia" w:ascii="宋体" w:hAnsi="宋体"/>
          <w:szCs w:val="21"/>
        </w:rPr>
        <w:t xml:space="preserve"> </w:t>
      </w:r>
    </w:p>
    <w:p>
      <w:pPr>
        <w:kinsoku/>
        <w:overflowPunct/>
        <w:topLinePunct w:val="0"/>
        <w:bidi w:val="0"/>
        <w:spacing w:line="560" w:lineRule="exact"/>
        <w:rPr>
          <w:rFonts w:ascii="宋体" w:hAnsi="宋体"/>
          <w:szCs w:val="21"/>
        </w:rPr>
      </w:pPr>
      <w:r>
        <w:rPr>
          <w:rFonts w:hint="eastAsia" w:ascii="宋体" w:hAnsi="宋体"/>
          <w:szCs w:val="21"/>
        </w:rPr>
        <w:t>谈判时间：</w:t>
      </w:r>
      <w:r>
        <w:rPr>
          <w:rFonts w:hint="eastAsia" w:ascii="宋体" w:hAnsi="宋体"/>
          <w:szCs w:val="21"/>
          <w:lang w:val="en-US" w:eastAsia="zh-CN"/>
        </w:rPr>
        <w:t>2022年5月18日</w:t>
      </w:r>
      <w:r>
        <w:rPr>
          <w:rFonts w:hint="eastAsia" w:ascii="宋体" w:hAnsi="宋体"/>
          <w:szCs w:val="21"/>
        </w:rPr>
        <w:t xml:space="preserve"> </w:t>
      </w:r>
    </w:p>
    <w:p>
      <w:pPr>
        <w:widowControl/>
        <w:kinsoku/>
        <w:overflowPunct/>
        <w:topLinePunct w:val="0"/>
        <w:bidi w:val="0"/>
        <w:spacing w:line="560" w:lineRule="exact"/>
        <w:rPr>
          <w:rFonts w:hint="eastAsia" w:ascii="宋体" w:hAnsi="宋体" w:eastAsia="宋体"/>
          <w:szCs w:val="21"/>
          <w:lang w:val="en-US" w:eastAsia="zh-CN"/>
        </w:rPr>
      </w:pPr>
      <w:r>
        <w:rPr>
          <w:rFonts w:hint="eastAsia" w:ascii="宋体" w:hAnsi="宋体"/>
          <w:szCs w:val="21"/>
        </w:rPr>
        <w:t xml:space="preserve">采购人： </w:t>
      </w:r>
      <w:r>
        <w:rPr>
          <w:rFonts w:hint="eastAsia" w:ascii="宋体" w:hAnsi="宋体"/>
          <w:szCs w:val="21"/>
          <w:lang w:val="en-US" w:eastAsia="zh-CN"/>
        </w:rPr>
        <w:t>四川能投广元燃气发电有限公司</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63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单位名称</w:t>
            </w:r>
          </w:p>
        </w:tc>
        <w:tc>
          <w:tcPr>
            <w:tcW w:w="1632"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姓名</w:t>
            </w:r>
          </w:p>
        </w:tc>
        <w:tc>
          <w:tcPr>
            <w:tcW w:w="2131"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职务</w:t>
            </w:r>
          </w:p>
        </w:tc>
        <w:tc>
          <w:tcPr>
            <w:tcW w:w="2131"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pPr>
              <w:kinsoku/>
              <w:overflowPunct/>
              <w:topLinePunct w:val="0"/>
              <w:bidi w:val="0"/>
              <w:spacing w:line="560" w:lineRule="exact"/>
              <w:jc w:val="center"/>
              <w:rPr>
                <w:rFonts w:ascii="宋体" w:hAnsi="宋体"/>
                <w:szCs w:val="21"/>
              </w:rPr>
            </w:pPr>
          </w:p>
        </w:tc>
        <w:tc>
          <w:tcPr>
            <w:tcW w:w="1632"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c>
          <w:tcPr>
            <w:tcW w:w="2131" w:type="dxa"/>
            <w:noWrap w:val="0"/>
            <w:vAlign w:val="center"/>
          </w:tcPr>
          <w:p>
            <w:pPr>
              <w:kinsoku/>
              <w:overflowPunct/>
              <w:topLinePunct w:val="0"/>
              <w:bidi w:val="0"/>
              <w:spacing w:line="560" w:lineRule="exact"/>
              <w:jc w:val="center"/>
              <w:rPr>
                <w:rFonts w:ascii="宋体" w:hAnsi="宋体"/>
                <w:szCs w:val="21"/>
              </w:rPr>
            </w:pPr>
          </w:p>
        </w:tc>
      </w:tr>
    </w:tbl>
    <w:p>
      <w:pPr>
        <w:kinsoku/>
        <w:overflowPunct/>
        <w:topLinePunct w:val="0"/>
        <w:bidi w:val="0"/>
        <w:spacing w:line="560" w:lineRule="exact"/>
        <w:outlineLvl w:val="1"/>
        <w:rPr>
          <w:rFonts w:ascii="宋体" w:hAnsi="宋体"/>
          <w:b/>
          <w:bCs/>
          <w:sz w:val="32"/>
          <w:szCs w:val="32"/>
        </w:rPr>
        <w:sectPr>
          <w:footerReference r:id="rId17" w:type="first"/>
          <w:pgSz w:w="11906" w:h="16838"/>
          <w:pgMar w:top="1440" w:right="1469" w:bottom="1402" w:left="1797"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kinsoku/>
        <w:overflowPunct/>
        <w:topLinePunct w:val="0"/>
        <w:bidi w:val="0"/>
        <w:spacing w:line="560" w:lineRule="exact"/>
        <w:outlineLvl w:val="1"/>
        <w:rPr>
          <w:rFonts w:ascii="宋体" w:hAnsi="宋体"/>
          <w:b/>
          <w:bCs/>
          <w:sz w:val="32"/>
          <w:szCs w:val="32"/>
        </w:rPr>
      </w:pPr>
    </w:p>
    <w:p>
      <w:pPr>
        <w:kinsoku/>
        <w:overflowPunct/>
        <w:topLinePunct w:val="0"/>
        <w:bidi w:val="0"/>
        <w:spacing w:line="560" w:lineRule="exact"/>
        <w:jc w:val="center"/>
        <w:rPr>
          <w:rFonts w:ascii="宋体" w:hAnsi="宋体"/>
          <w:b/>
          <w:bCs/>
          <w:sz w:val="32"/>
          <w:szCs w:val="32"/>
        </w:rPr>
      </w:pPr>
      <w:r>
        <w:rPr>
          <w:rFonts w:hint="eastAsia" w:ascii="宋体" w:hAnsi="宋体"/>
          <w:b/>
          <w:bCs/>
          <w:sz w:val="32"/>
          <w:szCs w:val="32"/>
        </w:rPr>
        <w:t>二、响应人签到表</w:t>
      </w:r>
    </w:p>
    <w:p>
      <w:pPr>
        <w:kinsoku/>
        <w:overflowPunct/>
        <w:topLinePunct w:val="0"/>
        <w:bidi w:val="0"/>
        <w:spacing w:line="560" w:lineRule="exact"/>
        <w:rPr>
          <w:rFonts w:ascii="宋体" w:hAnsi="宋体"/>
          <w:szCs w:val="21"/>
        </w:rPr>
      </w:pPr>
      <w:r>
        <w:rPr>
          <w:rFonts w:hint="eastAsia" w:ascii="宋体" w:hAnsi="宋体"/>
          <w:szCs w:val="21"/>
        </w:rPr>
        <w:t>项目名称：</w:t>
      </w:r>
      <w:r>
        <w:rPr>
          <w:rFonts w:hint="eastAsia" w:ascii="宋体" w:hAnsi="宋体"/>
          <w:szCs w:val="21"/>
          <w:lang w:val="en-US" w:eastAsia="zh-CN"/>
        </w:rPr>
        <w:t>广元燃机工程建设期生活用房家具采购</w:t>
      </w:r>
    </w:p>
    <w:p>
      <w:pPr>
        <w:kinsoku/>
        <w:overflowPunct/>
        <w:topLinePunct w:val="0"/>
        <w:bidi w:val="0"/>
        <w:spacing w:line="560" w:lineRule="exact"/>
        <w:rPr>
          <w:rFonts w:ascii="宋体" w:hAnsi="宋体"/>
          <w:szCs w:val="21"/>
        </w:rPr>
      </w:pPr>
      <w:r>
        <w:rPr>
          <w:rFonts w:hint="eastAsia" w:ascii="宋体" w:hAnsi="宋体"/>
          <w:szCs w:val="21"/>
        </w:rPr>
        <w:t>谈判地点：</w:t>
      </w:r>
      <w:r>
        <w:rPr>
          <w:rFonts w:hint="eastAsia" w:ascii="宋体" w:hAnsi="宋体"/>
          <w:szCs w:val="21"/>
          <w:lang w:val="en-US" w:eastAsia="zh-CN"/>
        </w:rPr>
        <w:t>成都市武侯区天府大道中段279号成达大厦10楼</w:t>
      </w:r>
      <w:r>
        <w:rPr>
          <w:rFonts w:hint="eastAsia" w:ascii="宋体" w:hAnsi="宋体"/>
          <w:szCs w:val="21"/>
        </w:rPr>
        <w:t xml:space="preserve"> </w:t>
      </w:r>
    </w:p>
    <w:p>
      <w:pPr>
        <w:kinsoku/>
        <w:overflowPunct/>
        <w:topLinePunct w:val="0"/>
        <w:bidi w:val="0"/>
        <w:spacing w:line="560" w:lineRule="exact"/>
        <w:rPr>
          <w:rFonts w:ascii="宋体" w:hAnsi="宋体"/>
          <w:szCs w:val="21"/>
        </w:rPr>
      </w:pPr>
      <w:r>
        <w:rPr>
          <w:rFonts w:hint="eastAsia" w:ascii="宋体" w:hAnsi="宋体"/>
          <w:szCs w:val="21"/>
        </w:rPr>
        <w:t>谈判时间：</w:t>
      </w:r>
      <w:r>
        <w:rPr>
          <w:rFonts w:hint="eastAsia" w:ascii="宋体" w:hAnsi="宋体"/>
          <w:szCs w:val="21"/>
          <w:lang w:val="en-US" w:eastAsia="zh-CN"/>
        </w:rPr>
        <w:t>2022年5月18日</w:t>
      </w:r>
      <w:r>
        <w:rPr>
          <w:rFonts w:hint="eastAsia" w:ascii="宋体" w:hAnsi="宋体"/>
          <w:szCs w:val="21"/>
        </w:rPr>
        <w:t xml:space="preserve">  </w:t>
      </w:r>
    </w:p>
    <w:p>
      <w:pPr>
        <w:kinsoku/>
        <w:overflowPunct/>
        <w:topLinePunct w:val="0"/>
        <w:bidi w:val="0"/>
        <w:spacing w:line="560" w:lineRule="exact"/>
        <w:rPr>
          <w:rFonts w:ascii="宋体" w:hAnsi="宋体"/>
          <w:szCs w:val="21"/>
        </w:rPr>
      </w:pPr>
      <w:r>
        <w:rPr>
          <w:rFonts w:hint="eastAsia" w:ascii="宋体" w:hAnsi="宋体"/>
          <w:szCs w:val="21"/>
        </w:rPr>
        <w:t>采购人：四川能投广元燃气发电有限公司</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500"/>
        <w:gridCol w:w="1800"/>
        <w:gridCol w:w="2116"/>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pPr>
              <w:kinsoku/>
              <w:overflowPunct/>
              <w:topLinePunct w:val="0"/>
              <w:bidi w:val="0"/>
              <w:spacing w:line="560" w:lineRule="exact"/>
              <w:jc w:val="center"/>
              <w:rPr>
                <w:rFonts w:ascii="宋体" w:hAnsi="宋体"/>
                <w:szCs w:val="24"/>
              </w:rPr>
            </w:pPr>
            <w:r>
              <w:rPr>
                <w:rFonts w:hint="eastAsia" w:ascii="宋体" w:hAnsi="宋体"/>
                <w:szCs w:val="24"/>
              </w:rPr>
              <w:t>序号</w:t>
            </w:r>
          </w:p>
        </w:tc>
        <w:tc>
          <w:tcPr>
            <w:tcW w:w="4500" w:type="dxa"/>
            <w:noWrap w:val="0"/>
            <w:vAlign w:val="center"/>
          </w:tcPr>
          <w:p>
            <w:pPr>
              <w:kinsoku/>
              <w:overflowPunct/>
              <w:topLinePunct w:val="0"/>
              <w:bidi w:val="0"/>
              <w:spacing w:line="560" w:lineRule="exact"/>
              <w:jc w:val="center"/>
              <w:rPr>
                <w:rFonts w:ascii="宋体" w:hAnsi="宋体"/>
                <w:szCs w:val="24"/>
              </w:rPr>
            </w:pPr>
            <w:r>
              <w:rPr>
                <w:rFonts w:hint="eastAsia" w:ascii="宋体" w:hAnsi="宋体"/>
                <w:szCs w:val="24"/>
              </w:rPr>
              <w:t>响应人名称</w:t>
            </w:r>
          </w:p>
        </w:tc>
        <w:tc>
          <w:tcPr>
            <w:tcW w:w="1800" w:type="dxa"/>
            <w:noWrap w:val="0"/>
            <w:vAlign w:val="center"/>
          </w:tcPr>
          <w:p>
            <w:pPr>
              <w:kinsoku/>
              <w:overflowPunct/>
              <w:topLinePunct w:val="0"/>
              <w:bidi w:val="0"/>
              <w:spacing w:line="560" w:lineRule="exact"/>
              <w:jc w:val="center"/>
              <w:rPr>
                <w:rFonts w:ascii="宋体" w:hAnsi="宋体"/>
                <w:szCs w:val="24"/>
              </w:rPr>
            </w:pPr>
            <w:r>
              <w:rPr>
                <w:rFonts w:hint="eastAsia" w:ascii="宋体" w:hAnsi="宋体"/>
                <w:szCs w:val="24"/>
              </w:rPr>
              <w:t>递交时间</w:t>
            </w:r>
          </w:p>
        </w:tc>
        <w:tc>
          <w:tcPr>
            <w:tcW w:w="2116" w:type="dxa"/>
            <w:noWrap w:val="0"/>
            <w:vAlign w:val="center"/>
          </w:tcPr>
          <w:p>
            <w:pPr>
              <w:kinsoku/>
              <w:overflowPunct/>
              <w:topLinePunct w:val="0"/>
              <w:bidi w:val="0"/>
              <w:spacing w:line="560" w:lineRule="exact"/>
              <w:jc w:val="center"/>
              <w:rPr>
                <w:rFonts w:ascii="宋体" w:hAnsi="宋体"/>
                <w:szCs w:val="24"/>
              </w:rPr>
            </w:pPr>
            <w:r>
              <w:rPr>
                <w:rFonts w:hint="eastAsia" w:ascii="宋体" w:hAnsi="宋体"/>
                <w:szCs w:val="24"/>
              </w:rPr>
              <w:t>联系电话</w:t>
            </w:r>
          </w:p>
        </w:tc>
        <w:tc>
          <w:tcPr>
            <w:tcW w:w="2363" w:type="dxa"/>
            <w:noWrap w:val="0"/>
            <w:vAlign w:val="center"/>
          </w:tcPr>
          <w:p>
            <w:pPr>
              <w:kinsoku/>
              <w:overflowPunct/>
              <w:topLinePunct w:val="0"/>
              <w:bidi w:val="0"/>
              <w:spacing w:line="560" w:lineRule="exact"/>
              <w:jc w:val="center"/>
              <w:rPr>
                <w:rFonts w:ascii="宋体" w:hAnsi="宋体"/>
                <w:szCs w:val="24"/>
              </w:rPr>
            </w:pPr>
            <w:r>
              <w:rPr>
                <w:rFonts w:hint="eastAsia" w:ascii="宋体" w:hAnsi="宋体"/>
                <w:szCs w:val="24"/>
              </w:rPr>
              <w:t>递交人签名</w:t>
            </w:r>
          </w:p>
        </w:tc>
        <w:tc>
          <w:tcPr>
            <w:tcW w:w="2363" w:type="dxa"/>
            <w:noWrap w:val="0"/>
            <w:vAlign w:val="center"/>
          </w:tcPr>
          <w:p>
            <w:pPr>
              <w:kinsoku/>
              <w:overflowPunct/>
              <w:topLinePunct w:val="0"/>
              <w:bidi w:val="0"/>
              <w:spacing w:line="560" w:lineRule="exact"/>
              <w:jc w:val="center"/>
              <w:rPr>
                <w:rFonts w:ascii="宋体" w:hAnsi="宋体"/>
                <w:szCs w:val="24"/>
              </w:rPr>
            </w:pPr>
            <w:r>
              <w:rPr>
                <w:rFonts w:hint="eastAsia" w:ascii="宋体"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1</w:t>
            </w:r>
          </w:p>
        </w:tc>
        <w:tc>
          <w:tcPr>
            <w:tcW w:w="4500" w:type="dxa"/>
            <w:noWrap w:val="0"/>
            <w:vAlign w:val="center"/>
          </w:tcPr>
          <w:p>
            <w:pPr>
              <w:kinsoku/>
              <w:overflowPunct/>
              <w:topLinePunct w:val="0"/>
              <w:bidi w:val="0"/>
              <w:spacing w:line="560" w:lineRule="exact"/>
              <w:jc w:val="center"/>
              <w:rPr>
                <w:rFonts w:ascii="宋体" w:hAnsi="宋体"/>
                <w:szCs w:val="21"/>
              </w:rPr>
            </w:pPr>
          </w:p>
        </w:tc>
        <w:tc>
          <w:tcPr>
            <w:tcW w:w="1800" w:type="dxa"/>
            <w:noWrap w:val="0"/>
            <w:vAlign w:val="center"/>
          </w:tcPr>
          <w:p>
            <w:pPr>
              <w:kinsoku/>
              <w:overflowPunct/>
              <w:topLinePunct w:val="0"/>
              <w:bidi w:val="0"/>
              <w:spacing w:line="560" w:lineRule="exact"/>
              <w:jc w:val="center"/>
              <w:rPr>
                <w:rFonts w:ascii="宋体" w:hAnsi="宋体"/>
                <w:szCs w:val="21"/>
              </w:rPr>
            </w:pPr>
          </w:p>
        </w:tc>
        <w:tc>
          <w:tcPr>
            <w:tcW w:w="2116"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2</w:t>
            </w:r>
          </w:p>
        </w:tc>
        <w:tc>
          <w:tcPr>
            <w:tcW w:w="4500" w:type="dxa"/>
            <w:noWrap w:val="0"/>
            <w:vAlign w:val="center"/>
          </w:tcPr>
          <w:p>
            <w:pPr>
              <w:kinsoku/>
              <w:overflowPunct/>
              <w:topLinePunct w:val="0"/>
              <w:bidi w:val="0"/>
              <w:spacing w:line="560" w:lineRule="exact"/>
              <w:jc w:val="center"/>
              <w:rPr>
                <w:rFonts w:ascii="宋体" w:hAnsi="宋体"/>
                <w:bCs/>
                <w:sz w:val="24"/>
                <w:szCs w:val="24"/>
              </w:rPr>
            </w:pPr>
          </w:p>
        </w:tc>
        <w:tc>
          <w:tcPr>
            <w:tcW w:w="1800" w:type="dxa"/>
            <w:noWrap w:val="0"/>
            <w:vAlign w:val="center"/>
          </w:tcPr>
          <w:p>
            <w:pPr>
              <w:kinsoku/>
              <w:overflowPunct/>
              <w:topLinePunct w:val="0"/>
              <w:bidi w:val="0"/>
              <w:spacing w:line="560" w:lineRule="exact"/>
              <w:jc w:val="center"/>
              <w:rPr>
                <w:rFonts w:ascii="宋体" w:hAnsi="宋体"/>
                <w:szCs w:val="21"/>
              </w:rPr>
            </w:pPr>
          </w:p>
        </w:tc>
        <w:tc>
          <w:tcPr>
            <w:tcW w:w="2116"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3</w:t>
            </w:r>
          </w:p>
        </w:tc>
        <w:tc>
          <w:tcPr>
            <w:tcW w:w="4500" w:type="dxa"/>
            <w:noWrap w:val="0"/>
            <w:vAlign w:val="center"/>
          </w:tcPr>
          <w:p>
            <w:pPr>
              <w:kinsoku/>
              <w:overflowPunct/>
              <w:topLinePunct w:val="0"/>
              <w:bidi w:val="0"/>
              <w:spacing w:line="560" w:lineRule="exact"/>
              <w:jc w:val="center"/>
              <w:rPr>
                <w:rFonts w:ascii="宋体" w:hAnsi="宋体"/>
                <w:bCs/>
                <w:sz w:val="24"/>
                <w:szCs w:val="24"/>
              </w:rPr>
            </w:pPr>
          </w:p>
        </w:tc>
        <w:tc>
          <w:tcPr>
            <w:tcW w:w="1800" w:type="dxa"/>
            <w:noWrap w:val="0"/>
            <w:vAlign w:val="center"/>
          </w:tcPr>
          <w:p>
            <w:pPr>
              <w:kinsoku/>
              <w:overflowPunct/>
              <w:topLinePunct w:val="0"/>
              <w:bidi w:val="0"/>
              <w:spacing w:line="560" w:lineRule="exact"/>
              <w:jc w:val="center"/>
              <w:rPr>
                <w:rFonts w:ascii="宋体" w:hAnsi="宋体"/>
                <w:szCs w:val="21"/>
              </w:rPr>
            </w:pPr>
          </w:p>
        </w:tc>
        <w:tc>
          <w:tcPr>
            <w:tcW w:w="2116"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4</w:t>
            </w:r>
          </w:p>
        </w:tc>
        <w:tc>
          <w:tcPr>
            <w:tcW w:w="4500" w:type="dxa"/>
            <w:noWrap w:val="0"/>
            <w:vAlign w:val="center"/>
          </w:tcPr>
          <w:p>
            <w:pPr>
              <w:kinsoku/>
              <w:overflowPunct/>
              <w:topLinePunct w:val="0"/>
              <w:bidi w:val="0"/>
              <w:spacing w:line="560" w:lineRule="exact"/>
              <w:jc w:val="center"/>
              <w:rPr>
                <w:rFonts w:ascii="宋体" w:hAnsi="宋体"/>
                <w:szCs w:val="21"/>
              </w:rPr>
            </w:pPr>
          </w:p>
        </w:tc>
        <w:tc>
          <w:tcPr>
            <w:tcW w:w="1800" w:type="dxa"/>
            <w:noWrap w:val="0"/>
            <w:vAlign w:val="center"/>
          </w:tcPr>
          <w:p>
            <w:pPr>
              <w:kinsoku/>
              <w:overflowPunct/>
              <w:topLinePunct w:val="0"/>
              <w:bidi w:val="0"/>
              <w:spacing w:line="560" w:lineRule="exact"/>
              <w:jc w:val="center"/>
              <w:rPr>
                <w:rFonts w:ascii="宋体" w:hAnsi="宋体"/>
                <w:szCs w:val="21"/>
              </w:rPr>
            </w:pPr>
          </w:p>
        </w:tc>
        <w:tc>
          <w:tcPr>
            <w:tcW w:w="2116"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r>
    </w:tbl>
    <w:p>
      <w:pPr>
        <w:kinsoku/>
        <w:overflowPunct/>
        <w:topLinePunct w:val="0"/>
        <w:bidi w:val="0"/>
        <w:adjustRightInd w:val="0"/>
        <w:snapToGrid w:val="0"/>
        <w:spacing w:line="560" w:lineRule="exact"/>
        <w:rPr>
          <w:rFonts w:ascii="宋体" w:hAnsi="宋体"/>
          <w:sz w:val="26"/>
          <w:szCs w:val="24"/>
        </w:rPr>
        <w:sectPr>
          <w:footerReference r:id="rId18" w:type="first"/>
          <w:pgSz w:w="16838" w:h="11906" w:orient="landscape"/>
          <w:pgMar w:top="1797" w:right="1440" w:bottom="1469"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kinsoku/>
        <w:overflowPunct/>
        <w:topLinePunct w:val="0"/>
        <w:bidi w:val="0"/>
        <w:spacing w:line="560" w:lineRule="exact"/>
        <w:jc w:val="center"/>
        <w:rPr>
          <w:rFonts w:ascii="宋体" w:hAnsi="宋体"/>
          <w:b/>
          <w:bCs/>
          <w:sz w:val="32"/>
          <w:szCs w:val="32"/>
        </w:rPr>
      </w:pPr>
      <w:r>
        <w:rPr>
          <w:rFonts w:hint="eastAsia" w:ascii="宋体" w:hAnsi="宋体"/>
          <w:b/>
          <w:bCs/>
          <w:sz w:val="32"/>
          <w:szCs w:val="32"/>
        </w:rPr>
        <w:t>三</w:t>
      </w:r>
      <w:r>
        <w:rPr>
          <w:rFonts w:ascii="宋体" w:hAnsi="宋体"/>
          <w:b/>
          <w:bCs/>
          <w:sz w:val="32"/>
          <w:szCs w:val="32"/>
        </w:rPr>
        <w:t>、</w:t>
      </w:r>
      <w:r>
        <w:rPr>
          <w:rFonts w:hint="eastAsia" w:ascii="宋体" w:hAnsi="宋体"/>
          <w:b/>
          <w:bCs/>
          <w:sz w:val="32"/>
          <w:szCs w:val="32"/>
        </w:rPr>
        <w:t>响应文件密封情况检查表</w:t>
      </w:r>
    </w:p>
    <w:p>
      <w:pPr>
        <w:kinsoku/>
        <w:overflowPunct/>
        <w:topLinePunct w:val="0"/>
        <w:bidi w:val="0"/>
        <w:spacing w:line="560" w:lineRule="exact"/>
        <w:rPr>
          <w:rFonts w:ascii="宋体" w:hAnsi="宋体"/>
          <w:szCs w:val="21"/>
        </w:rPr>
      </w:pPr>
      <w:r>
        <w:rPr>
          <w:rFonts w:hint="eastAsia" w:ascii="宋体" w:hAnsi="宋体"/>
          <w:szCs w:val="21"/>
        </w:rPr>
        <w:t>项目名称：</w:t>
      </w:r>
      <w:r>
        <w:rPr>
          <w:rFonts w:hint="eastAsia" w:ascii="宋体" w:hAnsi="宋体"/>
          <w:szCs w:val="21"/>
          <w:lang w:val="en-US" w:eastAsia="zh-CN"/>
        </w:rPr>
        <w:t>广元燃机工程建设期生活用房家具采购</w:t>
      </w:r>
    </w:p>
    <w:p>
      <w:pPr>
        <w:kinsoku/>
        <w:overflowPunct/>
        <w:topLinePunct w:val="0"/>
        <w:bidi w:val="0"/>
        <w:spacing w:line="560" w:lineRule="exact"/>
        <w:rPr>
          <w:rFonts w:ascii="宋体" w:hAnsi="宋体"/>
          <w:szCs w:val="21"/>
        </w:rPr>
      </w:pPr>
      <w:r>
        <w:rPr>
          <w:rFonts w:hint="eastAsia" w:ascii="宋体" w:hAnsi="宋体"/>
          <w:szCs w:val="21"/>
        </w:rPr>
        <w:t>谈判地点：</w:t>
      </w:r>
      <w:r>
        <w:rPr>
          <w:rFonts w:hint="eastAsia" w:ascii="宋体" w:hAnsi="宋体"/>
          <w:szCs w:val="21"/>
          <w:lang w:val="en-US" w:eastAsia="zh-CN"/>
        </w:rPr>
        <w:t>成都市武侯区天府大道中段279号成达大厦10楼</w:t>
      </w:r>
      <w:r>
        <w:rPr>
          <w:rFonts w:hint="eastAsia" w:ascii="宋体" w:hAnsi="宋体"/>
          <w:szCs w:val="21"/>
        </w:rPr>
        <w:t xml:space="preserve"> </w:t>
      </w:r>
    </w:p>
    <w:p>
      <w:pPr>
        <w:kinsoku/>
        <w:overflowPunct/>
        <w:topLinePunct w:val="0"/>
        <w:bidi w:val="0"/>
        <w:spacing w:line="560" w:lineRule="exact"/>
        <w:rPr>
          <w:rFonts w:ascii="宋体" w:hAnsi="宋体"/>
          <w:szCs w:val="21"/>
        </w:rPr>
      </w:pPr>
      <w:r>
        <w:rPr>
          <w:rFonts w:hint="eastAsia" w:ascii="宋体" w:hAnsi="宋体"/>
          <w:szCs w:val="21"/>
        </w:rPr>
        <w:t>谈判时间：</w:t>
      </w:r>
      <w:r>
        <w:rPr>
          <w:rFonts w:hint="eastAsia" w:ascii="宋体" w:hAnsi="宋体"/>
          <w:szCs w:val="21"/>
          <w:lang w:val="en-US" w:eastAsia="zh-CN"/>
        </w:rPr>
        <w:t>2022年5月18日</w:t>
      </w:r>
      <w:r>
        <w:rPr>
          <w:rFonts w:hint="eastAsia" w:ascii="宋体" w:hAnsi="宋体"/>
          <w:szCs w:val="21"/>
        </w:rPr>
        <w:t xml:space="preserve">  </w:t>
      </w:r>
    </w:p>
    <w:p>
      <w:pPr>
        <w:kinsoku/>
        <w:overflowPunct/>
        <w:topLinePunct w:val="0"/>
        <w:bidi w:val="0"/>
        <w:spacing w:line="560" w:lineRule="exact"/>
        <w:rPr>
          <w:rFonts w:ascii="宋体" w:hAnsi="宋体"/>
          <w:szCs w:val="21"/>
        </w:rPr>
      </w:pPr>
      <w:r>
        <w:rPr>
          <w:rFonts w:hint="eastAsia" w:ascii="宋体" w:hAnsi="宋体"/>
          <w:szCs w:val="21"/>
        </w:rPr>
        <w:t>采购人：四川能投广元燃气发电有限公司</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40"/>
        <w:gridCol w:w="2880"/>
        <w:gridCol w:w="2680"/>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序号</w:t>
            </w:r>
          </w:p>
        </w:tc>
        <w:tc>
          <w:tcPr>
            <w:tcW w:w="3240"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响应人名称</w:t>
            </w:r>
          </w:p>
        </w:tc>
        <w:tc>
          <w:tcPr>
            <w:tcW w:w="2880"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密封情况</w:t>
            </w:r>
          </w:p>
        </w:tc>
        <w:tc>
          <w:tcPr>
            <w:tcW w:w="2680"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密封不完整的原因</w:t>
            </w:r>
          </w:p>
        </w:tc>
        <w:tc>
          <w:tcPr>
            <w:tcW w:w="2363"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签名</w:t>
            </w:r>
          </w:p>
        </w:tc>
        <w:tc>
          <w:tcPr>
            <w:tcW w:w="2363"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1</w:t>
            </w:r>
          </w:p>
        </w:tc>
        <w:tc>
          <w:tcPr>
            <w:tcW w:w="3240" w:type="dxa"/>
            <w:noWrap w:val="0"/>
            <w:vAlign w:val="center"/>
          </w:tcPr>
          <w:p>
            <w:pPr>
              <w:kinsoku/>
              <w:overflowPunct/>
              <w:topLinePunct w:val="0"/>
              <w:bidi w:val="0"/>
              <w:spacing w:line="560" w:lineRule="exact"/>
              <w:jc w:val="center"/>
              <w:rPr>
                <w:rFonts w:ascii="宋体" w:hAnsi="宋体"/>
                <w:szCs w:val="21"/>
              </w:rPr>
            </w:pPr>
          </w:p>
        </w:tc>
        <w:tc>
          <w:tcPr>
            <w:tcW w:w="2880" w:type="dxa"/>
            <w:noWrap w:val="0"/>
            <w:vAlign w:val="center"/>
          </w:tcPr>
          <w:p>
            <w:pPr>
              <w:kinsoku/>
              <w:overflowPunct/>
              <w:topLinePunct w:val="0"/>
              <w:bidi w:val="0"/>
              <w:spacing w:line="560" w:lineRule="exact"/>
              <w:jc w:val="center"/>
              <w:rPr>
                <w:rFonts w:ascii="宋体" w:hAnsi="宋体"/>
                <w:szCs w:val="21"/>
              </w:rPr>
            </w:pPr>
          </w:p>
        </w:tc>
        <w:tc>
          <w:tcPr>
            <w:tcW w:w="2680"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2</w:t>
            </w:r>
          </w:p>
        </w:tc>
        <w:tc>
          <w:tcPr>
            <w:tcW w:w="3240" w:type="dxa"/>
            <w:noWrap w:val="0"/>
            <w:vAlign w:val="center"/>
          </w:tcPr>
          <w:p>
            <w:pPr>
              <w:kinsoku/>
              <w:overflowPunct/>
              <w:topLinePunct w:val="0"/>
              <w:bidi w:val="0"/>
              <w:spacing w:line="560" w:lineRule="exact"/>
              <w:jc w:val="center"/>
              <w:rPr>
                <w:rFonts w:ascii="宋体" w:hAnsi="宋体"/>
                <w:szCs w:val="21"/>
              </w:rPr>
            </w:pPr>
          </w:p>
        </w:tc>
        <w:tc>
          <w:tcPr>
            <w:tcW w:w="2880" w:type="dxa"/>
            <w:noWrap w:val="0"/>
            <w:vAlign w:val="center"/>
          </w:tcPr>
          <w:p>
            <w:pPr>
              <w:kinsoku/>
              <w:overflowPunct/>
              <w:topLinePunct w:val="0"/>
              <w:bidi w:val="0"/>
              <w:spacing w:line="560" w:lineRule="exact"/>
              <w:jc w:val="center"/>
              <w:rPr>
                <w:rFonts w:ascii="宋体" w:hAnsi="宋体"/>
                <w:szCs w:val="21"/>
              </w:rPr>
            </w:pPr>
          </w:p>
        </w:tc>
        <w:tc>
          <w:tcPr>
            <w:tcW w:w="2680"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3</w:t>
            </w:r>
          </w:p>
        </w:tc>
        <w:tc>
          <w:tcPr>
            <w:tcW w:w="3240" w:type="dxa"/>
            <w:noWrap w:val="0"/>
            <w:vAlign w:val="center"/>
          </w:tcPr>
          <w:p>
            <w:pPr>
              <w:kinsoku/>
              <w:overflowPunct/>
              <w:topLinePunct w:val="0"/>
              <w:bidi w:val="0"/>
              <w:spacing w:line="560" w:lineRule="exact"/>
              <w:jc w:val="center"/>
              <w:rPr>
                <w:rFonts w:ascii="宋体" w:hAnsi="宋体"/>
                <w:szCs w:val="21"/>
              </w:rPr>
            </w:pPr>
          </w:p>
        </w:tc>
        <w:tc>
          <w:tcPr>
            <w:tcW w:w="2880" w:type="dxa"/>
            <w:noWrap w:val="0"/>
            <w:vAlign w:val="center"/>
          </w:tcPr>
          <w:p>
            <w:pPr>
              <w:kinsoku/>
              <w:overflowPunct/>
              <w:topLinePunct w:val="0"/>
              <w:bidi w:val="0"/>
              <w:spacing w:line="560" w:lineRule="exact"/>
              <w:jc w:val="center"/>
              <w:rPr>
                <w:rFonts w:ascii="宋体" w:hAnsi="宋体"/>
                <w:szCs w:val="21"/>
              </w:rPr>
            </w:pPr>
          </w:p>
        </w:tc>
        <w:tc>
          <w:tcPr>
            <w:tcW w:w="2680"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4</w:t>
            </w:r>
          </w:p>
        </w:tc>
        <w:tc>
          <w:tcPr>
            <w:tcW w:w="3240" w:type="dxa"/>
            <w:noWrap w:val="0"/>
            <w:vAlign w:val="center"/>
          </w:tcPr>
          <w:p>
            <w:pPr>
              <w:kinsoku/>
              <w:overflowPunct/>
              <w:topLinePunct w:val="0"/>
              <w:bidi w:val="0"/>
              <w:spacing w:line="560" w:lineRule="exact"/>
              <w:jc w:val="center"/>
              <w:rPr>
                <w:rFonts w:ascii="宋体" w:hAnsi="宋体"/>
                <w:szCs w:val="21"/>
              </w:rPr>
            </w:pPr>
          </w:p>
        </w:tc>
        <w:tc>
          <w:tcPr>
            <w:tcW w:w="2880" w:type="dxa"/>
            <w:noWrap w:val="0"/>
            <w:vAlign w:val="center"/>
          </w:tcPr>
          <w:p>
            <w:pPr>
              <w:kinsoku/>
              <w:overflowPunct/>
              <w:topLinePunct w:val="0"/>
              <w:bidi w:val="0"/>
              <w:spacing w:line="560" w:lineRule="exact"/>
              <w:jc w:val="center"/>
              <w:rPr>
                <w:rFonts w:ascii="宋体" w:hAnsi="宋体"/>
                <w:szCs w:val="21"/>
              </w:rPr>
            </w:pPr>
          </w:p>
        </w:tc>
        <w:tc>
          <w:tcPr>
            <w:tcW w:w="2680"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c>
          <w:tcPr>
            <w:tcW w:w="2363" w:type="dxa"/>
            <w:noWrap w:val="0"/>
            <w:vAlign w:val="center"/>
          </w:tcPr>
          <w:p>
            <w:pPr>
              <w:kinsoku/>
              <w:overflowPunct/>
              <w:topLinePunct w:val="0"/>
              <w:bidi w:val="0"/>
              <w:spacing w:line="560" w:lineRule="exact"/>
              <w:jc w:val="center"/>
              <w:rPr>
                <w:rFonts w:ascii="宋体" w:hAnsi="宋体"/>
                <w:szCs w:val="21"/>
              </w:rPr>
            </w:pPr>
          </w:p>
        </w:tc>
      </w:tr>
    </w:tbl>
    <w:p>
      <w:pPr>
        <w:kinsoku/>
        <w:overflowPunct/>
        <w:topLinePunct w:val="0"/>
        <w:bidi w:val="0"/>
        <w:spacing w:line="560" w:lineRule="exact"/>
        <w:jc w:val="center"/>
        <w:outlineLvl w:val="1"/>
        <w:rPr>
          <w:rFonts w:ascii="宋体" w:hAnsi="宋体"/>
          <w:b/>
          <w:bCs/>
          <w:sz w:val="32"/>
          <w:szCs w:val="32"/>
        </w:rPr>
        <w:sectPr>
          <w:headerReference r:id="rId21" w:type="first"/>
          <w:footerReference r:id="rId23" w:type="first"/>
          <w:headerReference r:id="rId19" w:type="default"/>
          <w:headerReference r:id="rId20" w:type="even"/>
          <w:footerReference r:id="rId22" w:type="even"/>
          <w:pgSz w:w="16838" w:h="11906" w:orient="landscape"/>
          <w:pgMar w:top="1797" w:right="1440" w:bottom="1469"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kinsoku/>
        <w:overflowPunct/>
        <w:topLinePunct w:val="0"/>
        <w:bidi w:val="0"/>
        <w:spacing w:line="560" w:lineRule="exact"/>
        <w:jc w:val="center"/>
        <w:outlineLvl w:val="1"/>
        <w:rPr>
          <w:rFonts w:ascii="宋体" w:hAnsi="宋体"/>
          <w:szCs w:val="21"/>
        </w:rPr>
      </w:pPr>
      <w:r>
        <w:rPr>
          <w:rFonts w:hint="eastAsia" w:ascii="宋体" w:hAnsi="宋体"/>
          <w:b/>
          <w:bCs/>
          <w:sz w:val="32"/>
          <w:szCs w:val="32"/>
        </w:rPr>
        <w:t>四</w:t>
      </w:r>
      <w:r>
        <w:rPr>
          <w:rFonts w:ascii="宋体" w:hAnsi="宋体"/>
          <w:b/>
          <w:bCs/>
          <w:sz w:val="32"/>
          <w:szCs w:val="32"/>
        </w:rPr>
        <w:t>、</w:t>
      </w:r>
      <w:r>
        <w:rPr>
          <w:rFonts w:hint="eastAsia" w:ascii="宋体" w:hAnsi="宋体"/>
          <w:b/>
          <w:bCs/>
          <w:sz w:val="32"/>
          <w:szCs w:val="32"/>
        </w:rPr>
        <w:t>第一次报价汇总表</w:t>
      </w:r>
    </w:p>
    <w:p>
      <w:pPr>
        <w:kinsoku/>
        <w:overflowPunct/>
        <w:topLinePunct w:val="0"/>
        <w:bidi w:val="0"/>
        <w:spacing w:line="560" w:lineRule="exact"/>
        <w:rPr>
          <w:rFonts w:ascii="宋体" w:hAnsi="宋体"/>
          <w:szCs w:val="21"/>
        </w:rPr>
      </w:pPr>
      <w:r>
        <w:rPr>
          <w:rFonts w:hint="eastAsia" w:ascii="宋体" w:hAnsi="宋体"/>
          <w:szCs w:val="21"/>
        </w:rPr>
        <w:t>谈判地点：</w:t>
      </w:r>
      <w:r>
        <w:rPr>
          <w:rFonts w:hint="eastAsia" w:ascii="宋体" w:hAnsi="宋体"/>
          <w:szCs w:val="21"/>
          <w:lang w:val="en-US" w:eastAsia="zh-CN"/>
        </w:rPr>
        <w:t>成都市武侯区天府大道中段279号</w:t>
      </w:r>
      <w:r>
        <w:rPr>
          <w:rFonts w:hint="eastAsia" w:ascii="宋体" w:hAnsi="宋体"/>
          <w:szCs w:val="21"/>
          <w:lang w:eastAsia="zh-CN"/>
        </w:rPr>
        <w:t>（</w:t>
      </w:r>
      <w:r>
        <w:rPr>
          <w:rFonts w:hint="eastAsia" w:ascii="宋体" w:hAnsi="宋体"/>
          <w:szCs w:val="21"/>
          <w:lang w:val="en-US" w:eastAsia="zh-CN"/>
        </w:rPr>
        <w:t>成达大厦10楼</w:t>
      </w:r>
      <w:r>
        <w:rPr>
          <w:rFonts w:hint="eastAsia" w:ascii="宋体" w:hAnsi="宋体"/>
          <w:szCs w:val="21"/>
          <w:lang w:eastAsia="zh-CN"/>
        </w:rPr>
        <w:t>）</w:t>
      </w:r>
      <w:r>
        <w:rPr>
          <w:rFonts w:hint="eastAsia" w:ascii="宋体" w:hAnsi="宋体"/>
          <w:szCs w:val="21"/>
        </w:rPr>
        <w:t xml:space="preserve"> </w:t>
      </w:r>
    </w:p>
    <w:p>
      <w:pPr>
        <w:kinsoku/>
        <w:overflowPunct/>
        <w:topLinePunct w:val="0"/>
        <w:bidi w:val="0"/>
        <w:spacing w:line="560" w:lineRule="exact"/>
        <w:rPr>
          <w:rFonts w:ascii="宋体" w:hAnsi="宋体"/>
          <w:szCs w:val="21"/>
        </w:rPr>
      </w:pPr>
      <w:r>
        <w:rPr>
          <w:rFonts w:hint="eastAsia" w:ascii="宋体" w:hAnsi="宋体"/>
          <w:szCs w:val="21"/>
        </w:rPr>
        <w:t>谈判时间：</w:t>
      </w:r>
      <w:r>
        <w:rPr>
          <w:rFonts w:hint="eastAsia" w:ascii="宋体" w:hAnsi="宋体"/>
          <w:szCs w:val="21"/>
          <w:lang w:val="en-US" w:eastAsia="zh-CN"/>
        </w:rPr>
        <w:t>2022年5月18日上午10:00</w:t>
      </w:r>
      <w:r>
        <w:rPr>
          <w:rFonts w:hint="eastAsia" w:ascii="宋体" w:hAnsi="宋体"/>
          <w:szCs w:val="21"/>
        </w:rPr>
        <w:t xml:space="preserve"> </w:t>
      </w:r>
    </w:p>
    <w:p>
      <w:pPr>
        <w:kinsoku/>
        <w:overflowPunct/>
        <w:topLinePunct w:val="0"/>
        <w:bidi w:val="0"/>
        <w:spacing w:line="560" w:lineRule="exact"/>
      </w:pPr>
      <w:r>
        <w:rPr>
          <w:rFonts w:hint="eastAsia" w:ascii="宋体" w:hAnsi="宋体"/>
          <w:szCs w:val="21"/>
        </w:rPr>
        <w:t>采购人：</w:t>
      </w:r>
      <w:r>
        <w:rPr>
          <w:rFonts w:hint="eastAsia" w:ascii="宋体" w:hAnsi="宋体"/>
          <w:szCs w:val="21"/>
          <w:lang w:eastAsia="zh-CN"/>
        </w:rPr>
        <w:t>四川能投</w:t>
      </w:r>
      <w:r>
        <w:rPr>
          <w:rFonts w:hint="eastAsia" w:ascii="宋体" w:hAnsi="宋体"/>
          <w:szCs w:val="21"/>
          <w:lang w:val="en-US" w:eastAsia="zh-CN"/>
        </w:rPr>
        <w:t>广元燃气发电</w:t>
      </w:r>
      <w:r>
        <w:rPr>
          <w:rFonts w:hint="eastAsia" w:ascii="宋体" w:hAnsi="宋体"/>
          <w:szCs w:val="21"/>
          <w:lang w:eastAsia="zh-CN"/>
        </w:rPr>
        <w:t>有限公司</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0"/>
        <w:gridCol w:w="2959"/>
        <w:gridCol w:w="2434"/>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830"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响应人名称</w:t>
            </w:r>
          </w:p>
        </w:tc>
        <w:tc>
          <w:tcPr>
            <w:tcW w:w="2959"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第一次报价</w:t>
            </w:r>
            <w:r>
              <w:rPr>
                <w:rFonts w:ascii="宋体" w:hAnsi="宋体"/>
                <w:szCs w:val="21"/>
              </w:rPr>
              <w:t>价格</w:t>
            </w:r>
          </w:p>
        </w:tc>
        <w:tc>
          <w:tcPr>
            <w:tcW w:w="2434"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签字</w:t>
            </w:r>
          </w:p>
        </w:tc>
        <w:tc>
          <w:tcPr>
            <w:tcW w:w="2434" w:type="dxa"/>
            <w:noWrap w:val="0"/>
            <w:vAlign w:val="center"/>
          </w:tcPr>
          <w:p>
            <w:pPr>
              <w:kinsoku/>
              <w:overflowPunct/>
              <w:topLinePunct w:val="0"/>
              <w:bidi w:val="0"/>
              <w:spacing w:line="56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830" w:type="dxa"/>
            <w:noWrap w:val="0"/>
            <w:vAlign w:val="center"/>
          </w:tcPr>
          <w:p>
            <w:pPr>
              <w:kinsoku/>
              <w:overflowPunct/>
              <w:topLinePunct w:val="0"/>
              <w:bidi w:val="0"/>
              <w:spacing w:line="560" w:lineRule="exact"/>
              <w:rPr>
                <w:rFonts w:ascii="宋体" w:hAnsi="宋体"/>
                <w:szCs w:val="24"/>
              </w:rPr>
            </w:pPr>
          </w:p>
        </w:tc>
        <w:tc>
          <w:tcPr>
            <w:tcW w:w="2959" w:type="dxa"/>
            <w:noWrap w:val="0"/>
            <w:vAlign w:val="center"/>
          </w:tcPr>
          <w:p>
            <w:pPr>
              <w:kinsoku/>
              <w:overflowPunct/>
              <w:topLinePunct w:val="0"/>
              <w:bidi w:val="0"/>
              <w:spacing w:line="560" w:lineRule="exact"/>
              <w:jc w:val="center"/>
              <w:rPr>
                <w:rFonts w:ascii="宋体" w:hAnsi="宋体"/>
                <w:szCs w:val="21"/>
              </w:rPr>
            </w:pPr>
          </w:p>
        </w:tc>
        <w:tc>
          <w:tcPr>
            <w:tcW w:w="2434" w:type="dxa"/>
            <w:noWrap w:val="0"/>
            <w:vAlign w:val="center"/>
          </w:tcPr>
          <w:p>
            <w:pPr>
              <w:kinsoku/>
              <w:overflowPunct/>
              <w:topLinePunct w:val="0"/>
              <w:bidi w:val="0"/>
              <w:spacing w:line="560" w:lineRule="exact"/>
              <w:jc w:val="center"/>
              <w:rPr>
                <w:rFonts w:ascii="宋体" w:hAnsi="宋体"/>
                <w:szCs w:val="21"/>
              </w:rPr>
            </w:pPr>
          </w:p>
        </w:tc>
        <w:tc>
          <w:tcPr>
            <w:tcW w:w="2434"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830" w:type="dxa"/>
            <w:noWrap w:val="0"/>
            <w:vAlign w:val="center"/>
          </w:tcPr>
          <w:p>
            <w:pPr>
              <w:kinsoku/>
              <w:overflowPunct/>
              <w:topLinePunct w:val="0"/>
              <w:bidi w:val="0"/>
              <w:spacing w:line="560" w:lineRule="exact"/>
              <w:rPr>
                <w:rFonts w:ascii="宋体" w:hAnsi="宋体"/>
                <w:szCs w:val="24"/>
              </w:rPr>
            </w:pPr>
          </w:p>
        </w:tc>
        <w:tc>
          <w:tcPr>
            <w:tcW w:w="2959" w:type="dxa"/>
            <w:noWrap w:val="0"/>
            <w:vAlign w:val="center"/>
          </w:tcPr>
          <w:p>
            <w:pPr>
              <w:kinsoku/>
              <w:overflowPunct/>
              <w:topLinePunct w:val="0"/>
              <w:bidi w:val="0"/>
              <w:spacing w:line="560" w:lineRule="exact"/>
              <w:jc w:val="center"/>
              <w:rPr>
                <w:rFonts w:ascii="宋体" w:hAnsi="宋体"/>
                <w:szCs w:val="21"/>
              </w:rPr>
            </w:pPr>
          </w:p>
        </w:tc>
        <w:tc>
          <w:tcPr>
            <w:tcW w:w="2434" w:type="dxa"/>
            <w:noWrap w:val="0"/>
            <w:vAlign w:val="center"/>
          </w:tcPr>
          <w:p>
            <w:pPr>
              <w:kinsoku/>
              <w:overflowPunct/>
              <w:topLinePunct w:val="0"/>
              <w:bidi w:val="0"/>
              <w:spacing w:line="560" w:lineRule="exact"/>
              <w:jc w:val="center"/>
              <w:rPr>
                <w:rFonts w:ascii="宋体" w:hAnsi="宋体"/>
                <w:szCs w:val="21"/>
              </w:rPr>
            </w:pPr>
          </w:p>
        </w:tc>
        <w:tc>
          <w:tcPr>
            <w:tcW w:w="2434"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830" w:type="dxa"/>
            <w:noWrap w:val="0"/>
            <w:vAlign w:val="center"/>
          </w:tcPr>
          <w:p>
            <w:pPr>
              <w:kinsoku/>
              <w:overflowPunct/>
              <w:topLinePunct w:val="0"/>
              <w:bidi w:val="0"/>
              <w:spacing w:line="560" w:lineRule="exact"/>
              <w:rPr>
                <w:rFonts w:ascii="宋体" w:hAnsi="宋体"/>
                <w:szCs w:val="24"/>
              </w:rPr>
            </w:pPr>
          </w:p>
        </w:tc>
        <w:tc>
          <w:tcPr>
            <w:tcW w:w="2959" w:type="dxa"/>
            <w:noWrap w:val="0"/>
            <w:vAlign w:val="center"/>
          </w:tcPr>
          <w:p>
            <w:pPr>
              <w:kinsoku/>
              <w:overflowPunct/>
              <w:topLinePunct w:val="0"/>
              <w:bidi w:val="0"/>
              <w:spacing w:line="560" w:lineRule="exact"/>
              <w:jc w:val="center"/>
              <w:rPr>
                <w:rFonts w:ascii="宋体" w:hAnsi="宋体"/>
                <w:szCs w:val="21"/>
              </w:rPr>
            </w:pPr>
          </w:p>
        </w:tc>
        <w:tc>
          <w:tcPr>
            <w:tcW w:w="2434" w:type="dxa"/>
            <w:noWrap w:val="0"/>
            <w:vAlign w:val="center"/>
          </w:tcPr>
          <w:p>
            <w:pPr>
              <w:kinsoku/>
              <w:overflowPunct/>
              <w:topLinePunct w:val="0"/>
              <w:bidi w:val="0"/>
              <w:spacing w:line="560" w:lineRule="exact"/>
              <w:jc w:val="center"/>
              <w:rPr>
                <w:rFonts w:ascii="宋体" w:hAnsi="宋体"/>
                <w:szCs w:val="21"/>
              </w:rPr>
            </w:pPr>
          </w:p>
        </w:tc>
        <w:tc>
          <w:tcPr>
            <w:tcW w:w="2434" w:type="dxa"/>
            <w:noWrap w:val="0"/>
            <w:vAlign w:val="center"/>
          </w:tcPr>
          <w:p>
            <w:pPr>
              <w:kinsoku/>
              <w:overflowPunct/>
              <w:topLinePunct w:val="0"/>
              <w:bidi w:val="0"/>
              <w:spacing w:line="560" w:lineRule="exact"/>
              <w:jc w:val="center"/>
              <w:rPr>
                <w:rFonts w:ascii="宋体" w:hAnsi="宋体"/>
                <w:szCs w:val="21"/>
              </w:rPr>
            </w:pPr>
          </w:p>
        </w:tc>
      </w:tr>
    </w:tbl>
    <w:p>
      <w:pPr>
        <w:kinsoku/>
        <w:overflowPunct/>
        <w:topLinePunct w:val="0"/>
        <w:bidi w:val="0"/>
        <w:spacing w:line="560" w:lineRule="exact"/>
        <w:jc w:val="center"/>
        <w:outlineLvl w:val="1"/>
        <w:rPr>
          <w:rFonts w:ascii="宋体" w:hAnsi="宋体"/>
          <w:b/>
          <w:bCs/>
          <w:sz w:val="32"/>
          <w:szCs w:val="32"/>
        </w:rPr>
        <w:sectPr>
          <w:headerReference r:id="rId26" w:type="first"/>
          <w:footerReference r:id="rId28" w:type="first"/>
          <w:headerReference r:id="rId24" w:type="default"/>
          <w:headerReference r:id="rId25" w:type="even"/>
          <w:footerReference r:id="rId27" w:type="even"/>
          <w:pgSz w:w="16838" w:h="11906" w:orient="landscape"/>
          <w:pgMar w:top="1797" w:right="1440" w:bottom="1469"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kinsoku/>
        <w:overflowPunct/>
        <w:topLinePunct w:val="0"/>
        <w:bidi w:val="0"/>
        <w:spacing w:line="560" w:lineRule="exact"/>
        <w:jc w:val="both"/>
        <w:outlineLvl w:val="1"/>
        <w:rPr>
          <w:rFonts w:hint="eastAsia" w:ascii="宋体" w:hAnsi="宋体"/>
          <w:b/>
          <w:bCs/>
          <w:sz w:val="32"/>
          <w:szCs w:val="32"/>
        </w:rPr>
      </w:pPr>
    </w:p>
    <w:p>
      <w:pPr>
        <w:kinsoku/>
        <w:overflowPunct/>
        <w:topLinePunct w:val="0"/>
        <w:bidi w:val="0"/>
        <w:spacing w:line="560" w:lineRule="exact"/>
        <w:jc w:val="center"/>
        <w:outlineLvl w:val="1"/>
        <w:rPr>
          <w:rFonts w:ascii="宋体" w:hAnsi="宋体"/>
          <w:szCs w:val="21"/>
        </w:rPr>
      </w:pPr>
      <w:r>
        <w:rPr>
          <w:rFonts w:hint="eastAsia" w:ascii="宋体" w:hAnsi="宋体"/>
          <w:b/>
          <w:bCs/>
          <w:sz w:val="32"/>
          <w:szCs w:val="32"/>
          <w:lang w:eastAsia="zh-CN"/>
        </w:rPr>
        <w:t>五</w:t>
      </w:r>
      <w:r>
        <w:rPr>
          <w:rFonts w:ascii="宋体" w:hAnsi="宋体"/>
          <w:b/>
          <w:bCs/>
          <w:sz w:val="32"/>
          <w:szCs w:val="32"/>
        </w:rPr>
        <w:t>、</w:t>
      </w:r>
      <w:r>
        <w:rPr>
          <w:rFonts w:hint="eastAsia" w:ascii="宋体" w:hAnsi="宋体"/>
          <w:b/>
          <w:bCs/>
          <w:sz w:val="32"/>
          <w:szCs w:val="32"/>
        </w:rPr>
        <w:t>谈判小组成员签到表</w:t>
      </w:r>
    </w:p>
    <w:p>
      <w:pPr>
        <w:kinsoku/>
        <w:overflowPunct/>
        <w:topLinePunct w:val="0"/>
        <w:bidi w:val="0"/>
        <w:spacing w:line="560" w:lineRule="exact"/>
        <w:rPr>
          <w:rFonts w:ascii="宋体" w:hAnsi="宋体"/>
          <w:szCs w:val="21"/>
        </w:rPr>
      </w:pPr>
      <w:r>
        <w:rPr>
          <w:rFonts w:hint="eastAsia" w:ascii="宋体" w:hAnsi="宋体"/>
          <w:szCs w:val="21"/>
        </w:rPr>
        <w:t>谈判地点：</w:t>
      </w:r>
      <w:r>
        <w:rPr>
          <w:rFonts w:hint="eastAsia" w:ascii="宋体" w:hAnsi="宋体"/>
          <w:szCs w:val="21"/>
          <w:lang w:val="en-US" w:eastAsia="zh-CN"/>
        </w:rPr>
        <w:t>成都市武侯区天府大道中段279号成达大厦10楼</w:t>
      </w:r>
      <w:r>
        <w:rPr>
          <w:rFonts w:hint="eastAsia" w:ascii="宋体" w:hAnsi="宋体"/>
          <w:szCs w:val="21"/>
        </w:rPr>
        <w:t xml:space="preserve"> </w:t>
      </w:r>
    </w:p>
    <w:p>
      <w:pPr>
        <w:kinsoku/>
        <w:overflowPunct/>
        <w:topLinePunct w:val="0"/>
        <w:bidi w:val="0"/>
        <w:spacing w:line="560" w:lineRule="exact"/>
        <w:rPr>
          <w:rFonts w:ascii="宋体" w:hAnsi="宋体"/>
          <w:szCs w:val="21"/>
        </w:rPr>
      </w:pPr>
      <w:r>
        <w:rPr>
          <w:rFonts w:hint="eastAsia" w:ascii="宋体" w:hAnsi="宋体"/>
          <w:szCs w:val="21"/>
        </w:rPr>
        <w:t>谈判时间：</w:t>
      </w:r>
      <w:r>
        <w:rPr>
          <w:rFonts w:hint="eastAsia" w:ascii="宋体" w:hAnsi="宋体"/>
          <w:szCs w:val="21"/>
          <w:lang w:val="en-US" w:eastAsia="zh-CN"/>
        </w:rPr>
        <w:t>2022年5月18日</w:t>
      </w:r>
      <w:r>
        <w:rPr>
          <w:rFonts w:hint="eastAsia" w:ascii="宋体" w:hAnsi="宋体"/>
          <w:szCs w:val="21"/>
        </w:rPr>
        <w:t xml:space="preserve">  </w:t>
      </w:r>
    </w:p>
    <w:p>
      <w:pPr>
        <w:kinsoku/>
        <w:overflowPunct/>
        <w:topLinePunct w:val="0"/>
        <w:bidi w:val="0"/>
        <w:spacing w:line="560" w:lineRule="exact"/>
        <w:rPr>
          <w:rFonts w:hint="eastAsia" w:ascii="宋体" w:hAnsi="宋体"/>
          <w:sz w:val="24"/>
          <w:szCs w:val="24"/>
        </w:rPr>
      </w:pPr>
      <w:r>
        <w:rPr>
          <w:rFonts w:hint="eastAsia" w:ascii="宋体" w:hAnsi="宋体"/>
          <w:szCs w:val="21"/>
        </w:rPr>
        <w:t>采购人：四川能投广元燃气发电有限公司</w:t>
      </w:r>
      <w:r>
        <w:rPr>
          <w:rFonts w:hint="eastAsia" w:ascii="宋体" w:hAnsi="宋体"/>
          <w:sz w:val="24"/>
          <w:szCs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63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4"/>
                <w:szCs w:val="24"/>
              </w:rPr>
            </w:pPr>
            <w:r>
              <w:rPr>
                <w:rFonts w:hint="eastAsia" w:ascii="宋体" w:hAnsi="宋体"/>
                <w:sz w:val="24"/>
                <w:szCs w:val="24"/>
              </w:rPr>
              <w:t>单位名称</w:t>
            </w:r>
          </w:p>
        </w:tc>
        <w:tc>
          <w:tcPr>
            <w:tcW w:w="1632" w:type="dxa"/>
            <w:noWrap w:val="0"/>
            <w:vAlign w:val="center"/>
          </w:tcPr>
          <w:p>
            <w:pPr>
              <w:kinsoku/>
              <w:overflowPunct/>
              <w:topLinePunct w:val="0"/>
              <w:bidi w:val="0"/>
              <w:spacing w:line="560" w:lineRule="exact"/>
              <w:jc w:val="center"/>
              <w:rPr>
                <w:rFonts w:hint="eastAsia" w:ascii="宋体" w:hAnsi="宋体"/>
                <w:sz w:val="24"/>
                <w:szCs w:val="24"/>
              </w:rPr>
            </w:pPr>
            <w:r>
              <w:rPr>
                <w:rFonts w:hint="eastAsia" w:ascii="宋体" w:hAnsi="宋体"/>
                <w:sz w:val="24"/>
                <w:szCs w:val="24"/>
              </w:rPr>
              <w:t>姓名</w:t>
            </w:r>
          </w:p>
        </w:tc>
        <w:tc>
          <w:tcPr>
            <w:tcW w:w="2131" w:type="dxa"/>
            <w:noWrap w:val="0"/>
            <w:vAlign w:val="center"/>
          </w:tcPr>
          <w:p>
            <w:pPr>
              <w:kinsoku/>
              <w:overflowPunct/>
              <w:topLinePunct w:val="0"/>
              <w:bidi w:val="0"/>
              <w:spacing w:line="560" w:lineRule="exact"/>
              <w:jc w:val="center"/>
              <w:rPr>
                <w:rFonts w:hint="eastAsia" w:ascii="宋体" w:hAnsi="宋体"/>
                <w:sz w:val="24"/>
                <w:szCs w:val="24"/>
              </w:rPr>
            </w:pPr>
            <w:r>
              <w:rPr>
                <w:rFonts w:hint="eastAsia" w:ascii="宋体" w:hAnsi="宋体"/>
                <w:sz w:val="24"/>
                <w:szCs w:val="24"/>
              </w:rPr>
              <w:t>职务</w:t>
            </w:r>
          </w:p>
        </w:tc>
        <w:tc>
          <w:tcPr>
            <w:tcW w:w="2131" w:type="dxa"/>
            <w:noWrap w:val="0"/>
            <w:vAlign w:val="center"/>
          </w:tcPr>
          <w:p>
            <w:pPr>
              <w:kinsoku/>
              <w:overflowPunct/>
              <w:topLinePunct w:val="0"/>
              <w:bidi w:val="0"/>
              <w:spacing w:line="560" w:lineRule="exact"/>
              <w:jc w:val="center"/>
              <w:rPr>
                <w:rFonts w:hint="eastAsia" w:ascii="宋体" w:hAns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kinsoku/>
              <w:overflowPunct/>
              <w:topLinePunct w:val="0"/>
              <w:bidi w:val="0"/>
              <w:spacing w:line="560" w:lineRule="exact"/>
              <w:jc w:val="center"/>
              <w:rPr>
                <w:rFonts w:hint="eastAsia" w:ascii="宋体" w:hAnsi="宋体"/>
                <w:sz w:val="28"/>
                <w:szCs w:val="21"/>
              </w:rPr>
            </w:pPr>
          </w:p>
        </w:tc>
        <w:tc>
          <w:tcPr>
            <w:tcW w:w="1632"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c>
          <w:tcPr>
            <w:tcW w:w="2131" w:type="dxa"/>
            <w:noWrap w:val="0"/>
            <w:vAlign w:val="center"/>
          </w:tcPr>
          <w:p>
            <w:pPr>
              <w:kinsoku/>
              <w:overflowPunct/>
              <w:topLinePunct w:val="0"/>
              <w:bidi w:val="0"/>
              <w:spacing w:line="560" w:lineRule="exact"/>
              <w:jc w:val="center"/>
              <w:rPr>
                <w:rFonts w:hint="eastAsia" w:ascii="宋体" w:hAnsi="宋体"/>
                <w:sz w:val="28"/>
                <w:szCs w:val="21"/>
              </w:rPr>
            </w:pPr>
          </w:p>
        </w:tc>
      </w:tr>
    </w:tbl>
    <w:p>
      <w:pPr>
        <w:kinsoku/>
        <w:overflowPunct/>
        <w:topLinePunct w:val="0"/>
        <w:bidi w:val="0"/>
        <w:spacing w:line="560" w:lineRule="exact"/>
        <w:rPr>
          <w:rFonts w:ascii="宋体" w:hAnsi="宋体"/>
          <w:b/>
          <w:bCs/>
          <w:sz w:val="32"/>
          <w:szCs w:val="32"/>
        </w:rPr>
        <w:sectPr>
          <w:pgSz w:w="11906" w:h="16838"/>
          <w:pgMar w:top="1440" w:right="1469" w:bottom="1440" w:left="1797"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2"/>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ascii="宋体" w:hAnsi="宋体"/>
          <w:szCs w:val="21"/>
        </w:rPr>
      </w:pPr>
      <w:r>
        <w:rPr>
          <w:rFonts w:hint="eastAsia" w:ascii="宋体" w:hAnsi="宋体"/>
          <w:b/>
          <w:bCs/>
          <w:sz w:val="32"/>
          <w:szCs w:val="32"/>
          <w:lang w:eastAsia="zh-CN"/>
        </w:rPr>
        <w:t>六、</w:t>
      </w:r>
      <w:r>
        <w:rPr>
          <w:rFonts w:hint="eastAsia" w:ascii="宋体" w:hAnsi="宋体"/>
          <w:b w:val="0"/>
          <w:bCs w:val="0"/>
          <w:sz w:val="32"/>
          <w:szCs w:val="32"/>
        </w:rPr>
        <w:t>符合性评审</w:t>
      </w:r>
    </w:p>
    <w:p>
      <w:pPr>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谈判地点：</w:t>
      </w:r>
      <w:r>
        <w:rPr>
          <w:rFonts w:hint="eastAsia" w:ascii="宋体" w:hAnsi="宋体"/>
          <w:szCs w:val="21"/>
          <w:lang w:val="en-US" w:eastAsia="zh-CN"/>
        </w:rPr>
        <w:t>成都市武侯区天府大道中段279号成达大厦10楼</w:t>
      </w:r>
      <w:r>
        <w:rPr>
          <w:rFonts w:hint="eastAsia" w:ascii="宋体" w:hAnsi="宋体"/>
          <w:szCs w:val="21"/>
        </w:rPr>
        <w:t xml:space="preserve"> </w:t>
      </w:r>
    </w:p>
    <w:p>
      <w:pPr>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谈判时间：</w:t>
      </w:r>
      <w:r>
        <w:rPr>
          <w:rFonts w:hint="eastAsia" w:ascii="宋体" w:hAnsi="宋体"/>
          <w:szCs w:val="21"/>
          <w:lang w:val="en-US" w:eastAsia="zh-CN"/>
        </w:rPr>
        <w:t>2022年5月18日</w:t>
      </w:r>
      <w:r>
        <w:rPr>
          <w:rFonts w:hint="eastAsia" w:ascii="宋体" w:hAnsi="宋体"/>
          <w:szCs w:val="21"/>
        </w:rPr>
        <w:t xml:space="preserve">  </w:t>
      </w:r>
    </w:p>
    <w:p>
      <w:pPr>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szCs w:val="21"/>
        </w:rPr>
        <w:t>采购人：四川能投广元燃气发电有限公司</w:t>
      </w:r>
    </w:p>
    <w:tbl>
      <w:tblPr>
        <w:tblStyle w:val="17"/>
        <w:tblW w:w="0" w:type="auto"/>
        <w:tblInd w:w="25" w:type="dxa"/>
        <w:tblLayout w:type="fixed"/>
        <w:tblCellMar>
          <w:top w:w="0" w:type="dxa"/>
          <w:left w:w="0" w:type="dxa"/>
          <w:bottom w:w="0" w:type="dxa"/>
          <w:right w:w="0" w:type="dxa"/>
        </w:tblCellMar>
      </w:tblPr>
      <w:tblGrid>
        <w:gridCol w:w="7520"/>
        <w:gridCol w:w="2340"/>
        <w:gridCol w:w="1794"/>
        <w:gridCol w:w="1536"/>
        <w:gridCol w:w="771"/>
      </w:tblGrid>
      <w:tr>
        <w:tblPrEx>
          <w:tblCellMar>
            <w:top w:w="0" w:type="dxa"/>
            <w:left w:w="0" w:type="dxa"/>
            <w:bottom w:w="0" w:type="dxa"/>
            <w:right w:w="0" w:type="dxa"/>
          </w:tblCellMar>
        </w:tblPrEx>
        <w:trPr>
          <w:cantSplit/>
          <w:trHeight w:val="90" w:hRule="atLeast"/>
        </w:trPr>
        <w:tc>
          <w:tcPr>
            <w:tcW w:w="7520" w:type="dxa"/>
            <w:vMerge w:val="restart"/>
            <w:tcBorders>
              <w:top w:val="single" w:color="auto" w:sz="4" w:space="0"/>
              <w:left w:val="single" w:color="auto" w:sz="4" w:space="0"/>
              <w:bottom w:val="single" w:color="000000" w:sz="4" w:space="0"/>
              <w:right w:val="single" w:color="000000"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1"/>
                <w:szCs w:val="21"/>
              </w:rPr>
            </w:pPr>
            <w:r>
              <w:rPr>
                <w:rFonts w:hint="eastAsia" w:ascii="宋体" w:hAnsi="宋体"/>
                <w:b/>
                <w:sz w:val="21"/>
                <w:szCs w:val="21"/>
              </w:rPr>
              <w:t>评审内容</w:t>
            </w:r>
          </w:p>
        </w:tc>
        <w:tc>
          <w:tcPr>
            <w:tcW w:w="6441" w:type="dxa"/>
            <w:gridSpan w:val="4"/>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1"/>
                <w:szCs w:val="21"/>
              </w:rPr>
            </w:pPr>
            <w:r>
              <w:rPr>
                <w:rFonts w:hint="eastAsia" w:ascii="宋体" w:hAnsi="宋体"/>
                <w:b/>
                <w:sz w:val="21"/>
                <w:szCs w:val="21"/>
              </w:rPr>
              <w:t>响应人</w:t>
            </w:r>
          </w:p>
        </w:tc>
      </w:tr>
      <w:tr>
        <w:tblPrEx>
          <w:tblCellMar>
            <w:top w:w="0" w:type="dxa"/>
            <w:left w:w="0" w:type="dxa"/>
            <w:bottom w:w="0" w:type="dxa"/>
            <w:right w:w="0" w:type="dxa"/>
          </w:tblCellMar>
        </w:tblPrEx>
        <w:trPr>
          <w:cantSplit/>
          <w:trHeight w:val="116" w:hRule="atLeast"/>
        </w:trPr>
        <w:tc>
          <w:tcPr>
            <w:tcW w:w="7520"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1"/>
                <w:szCs w:val="21"/>
              </w:rPr>
            </w:pPr>
          </w:p>
        </w:tc>
        <w:tc>
          <w:tcPr>
            <w:tcW w:w="234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1"/>
                <w:szCs w:val="21"/>
              </w:rPr>
            </w:pPr>
            <w:r>
              <w:rPr>
                <w:rFonts w:hint="eastAsia" w:ascii="宋体" w:hAnsi="宋体"/>
                <w:b/>
                <w:sz w:val="21"/>
                <w:szCs w:val="21"/>
              </w:rPr>
              <w:t>响应人1</w:t>
            </w:r>
          </w:p>
        </w:tc>
        <w:tc>
          <w:tcPr>
            <w:tcW w:w="1794"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1"/>
                <w:szCs w:val="21"/>
              </w:rPr>
            </w:pPr>
            <w:r>
              <w:rPr>
                <w:rFonts w:hint="eastAsia" w:ascii="宋体" w:hAnsi="宋体"/>
                <w:b/>
                <w:sz w:val="21"/>
                <w:szCs w:val="21"/>
              </w:rPr>
              <w:t>响应人2</w:t>
            </w:r>
          </w:p>
        </w:tc>
        <w:tc>
          <w:tcPr>
            <w:tcW w:w="1536"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1"/>
                <w:szCs w:val="21"/>
              </w:rPr>
            </w:pPr>
            <w:r>
              <w:rPr>
                <w:rFonts w:hint="eastAsia" w:ascii="宋体" w:hAnsi="宋体"/>
                <w:b/>
                <w:sz w:val="21"/>
                <w:szCs w:val="21"/>
              </w:rPr>
              <w:t>响应人3</w:t>
            </w:r>
          </w:p>
        </w:tc>
        <w:tc>
          <w:tcPr>
            <w:tcW w:w="771"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1"/>
                <w:szCs w:val="21"/>
              </w:rPr>
            </w:pPr>
            <w:r>
              <w:rPr>
                <w:rFonts w:ascii="宋体" w:hAnsi="宋体"/>
                <w:b/>
                <w:sz w:val="21"/>
                <w:szCs w:val="21"/>
              </w:rPr>
              <w:t>……</w:t>
            </w:r>
          </w:p>
        </w:tc>
      </w:tr>
      <w:tr>
        <w:tblPrEx>
          <w:tblCellMar>
            <w:top w:w="0" w:type="dxa"/>
            <w:left w:w="0" w:type="dxa"/>
            <w:bottom w:w="0" w:type="dxa"/>
            <w:right w:w="0" w:type="dxa"/>
          </w:tblCellMar>
        </w:tblPrEx>
        <w:trPr>
          <w:trHeight w:val="344" w:hRule="atLeast"/>
        </w:trPr>
        <w:tc>
          <w:tcPr>
            <w:tcW w:w="75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sz w:val="21"/>
                <w:szCs w:val="21"/>
              </w:rPr>
              <w:t>供应商名称是否与营业执照</w:t>
            </w:r>
            <w:r>
              <w:rPr>
                <w:rFonts w:hint="eastAsia" w:ascii="宋体" w:hAnsi="宋体"/>
                <w:sz w:val="21"/>
                <w:szCs w:val="21"/>
                <w:lang w:eastAsia="zh-CN"/>
              </w:rPr>
              <w:t>一致</w:t>
            </w:r>
          </w:p>
        </w:tc>
        <w:tc>
          <w:tcPr>
            <w:tcW w:w="234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794"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536"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771"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r>
      <w:tr>
        <w:tblPrEx>
          <w:tblCellMar>
            <w:top w:w="0" w:type="dxa"/>
            <w:left w:w="0" w:type="dxa"/>
            <w:bottom w:w="0" w:type="dxa"/>
            <w:right w:w="0" w:type="dxa"/>
          </w:tblCellMar>
        </w:tblPrEx>
        <w:trPr>
          <w:trHeight w:val="291" w:hRule="atLeast"/>
        </w:trPr>
        <w:tc>
          <w:tcPr>
            <w:tcW w:w="75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宋体" w:hAnsi="宋体"/>
                <w:sz w:val="21"/>
                <w:szCs w:val="21"/>
                <w:lang w:eastAsia="zh-CN"/>
              </w:rPr>
              <w:t>响应文件</w:t>
            </w:r>
            <w:r>
              <w:rPr>
                <w:rFonts w:hint="eastAsia" w:ascii="宋体" w:hAnsi="宋体"/>
                <w:sz w:val="21"/>
                <w:szCs w:val="21"/>
              </w:rPr>
              <w:t>是否符合竞争性谈判文件的签署盖章要求</w:t>
            </w:r>
          </w:p>
        </w:tc>
        <w:tc>
          <w:tcPr>
            <w:tcW w:w="234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794"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536"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771"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r>
      <w:tr>
        <w:tblPrEx>
          <w:tblCellMar>
            <w:top w:w="0" w:type="dxa"/>
            <w:left w:w="0" w:type="dxa"/>
            <w:bottom w:w="0" w:type="dxa"/>
            <w:right w:w="0" w:type="dxa"/>
          </w:tblCellMar>
        </w:tblPrEx>
        <w:trPr>
          <w:trHeight w:val="343" w:hRule="atLeast"/>
        </w:trPr>
        <w:tc>
          <w:tcPr>
            <w:tcW w:w="7520"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eastAsia="宋体"/>
                <w:sz w:val="21"/>
                <w:szCs w:val="21"/>
              </w:rPr>
              <w:t>副本份数</w:t>
            </w:r>
            <w:r>
              <w:rPr>
                <w:rFonts w:hint="eastAsia" w:ascii="宋体" w:hAnsi="宋体" w:eastAsia="宋体"/>
                <w:sz w:val="21"/>
                <w:szCs w:val="21"/>
                <w:lang w:val="en-US" w:eastAsia="zh-CN"/>
              </w:rPr>
              <w:t>是否满足要求</w:t>
            </w:r>
          </w:p>
        </w:tc>
        <w:tc>
          <w:tcPr>
            <w:tcW w:w="234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794"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536"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771"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r>
      <w:tr>
        <w:tblPrEx>
          <w:tblCellMar>
            <w:top w:w="0" w:type="dxa"/>
            <w:left w:w="0" w:type="dxa"/>
            <w:bottom w:w="0" w:type="dxa"/>
            <w:right w:w="0" w:type="dxa"/>
          </w:tblCellMar>
        </w:tblPrEx>
        <w:trPr>
          <w:trHeight w:val="454" w:hRule="atLeast"/>
        </w:trPr>
        <w:tc>
          <w:tcPr>
            <w:tcW w:w="7520" w:type="dxa"/>
            <w:tcBorders>
              <w:top w:val="single" w:color="auto" w:sz="4" w:space="0"/>
              <w:left w:val="single" w:color="auto" w:sz="4" w:space="0"/>
              <w:bottom w:val="single" w:color="auto" w:sz="4" w:space="0"/>
              <w:right w:val="single" w:color="000000"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eastAsia="宋体"/>
                <w:sz w:val="21"/>
                <w:szCs w:val="21"/>
                <w:lang w:eastAsia="zh-CN"/>
              </w:rPr>
              <w:t>响应</w:t>
            </w:r>
            <w:r>
              <w:rPr>
                <w:rFonts w:hint="eastAsia" w:ascii="宋体" w:hAnsi="宋体" w:eastAsia="宋体"/>
                <w:sz w:val="21"/>
                <w:szCs w:val="21"/>
              </w:rPr>
              <w:t>文件正本与副本</w:t>
            </w:r>
            <w:r>
              <w:rPr>
                <w:rFonts w:hint="eastAsia" w:ascii="宋体" w:hAnsi="宋体" w:eastAsia="宋体"/>
                <w:sz w:val="21"/>
                <w:szCs w:val="21"/>
                <w:lang w:eastAsia="zh-CN"/>
              </w:rPr>
              <w:t>是否</w:t>
            </w:r>
            <w:r>
              <w:rPr>
                <w:rFonts w:hint="eastAsia" w:ascii="宋体" w:hAnsi="宋体" w:eastAsia="宋体"/>
                <w:sz w:val="21"/>
                <w:szCs w:val="21"/>
              </w:rPr>
              <w:t>分别装订成册，并编制目录</w:t>
            </w:r>
          </w:p>
        </w:tc>
        <w:tc>
          <w:tcPr>
            <w:tcW w:w="234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794"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536"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771"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r>
      <w:tr>
        <w:tblPrEx>
          <w:tblCellMar>
            <w:top w:w="0" w:type="dxa"/>
            <w:left w:w="0" w:type="dxa"/>
            <w:bottom w:w="0" w:type="dxa"/>
            <w:right w:w="0" w:type="dxa"/>
          </w:tblCellMar>
        </w:tblPrEx>
        <w:trPr>
          <w:trHeight w:val="454" w:hRule="atLeast"/>
        </w:trPr>
        <w:tc>
          <w:tcPr>
            <w:tcW w:w="7520" w:type="dxa"/>
            <w:tcBorders>
              <w:top w:val="single" w:color="auto" w:sz="4" w:space="0"/>
              <w:left w:val="single" w:color="auto" w:sz="4" w:space="0"/>
              <w:bottom w:val="single" w:color="auto" w:sz="4" w:space="0"/>
              <w:right w:val="single" w:color="000000"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eastAsia="宋体"/>
                <w:sz w:val="21"/>
                <w:szCs w:val="21"/>
                <w:lang w:eastAsia="zh-CN"/>
              </w:rPr>
              <w:t>响应</w:t>
            </w:r>
            <w:r>
              <w:rPr>
                <w:rFonts w:hint="eastAsia" w:ascii="宋体" w:hAnsi="宋体" w:eastAsia="宋体"/>
                <w:sz w:val="21"/>
                <w:szCs w:val="21"/>
              </w:rPr>
              <w:t>文件</w:t>
            </w:r>
            <w:r>
              <w:rPr>
                <w:rFonts w:hint="eastAsia" w:ascii="宋体" w:hAnsi="宋体" w:eastAsia="宋体"/>
                <w:sz w:val="21"/>
                <w:szCs w:val="21"/>
                <w:lang w:eastAsia="zh-CN"/>
              </w:rPr>
              <w:t>是否</w:t>
            </w:r>
            <w:r>
              <w:rPr>
                <w:rFonts w:hint="eastAsia" w:ascii="宋体" w:hAnsi="宋体" w:eastAsia="宋体"/>
                <w:sz w:val="21"/>
                <w:szCs w:val="21"/>
              </w:rPr>
              <w:t>从目录第一页开始连续、逐页编页码</w:t>
            </w:r>
          </w:p>
        </w:tc>
        <w:tc>
          <w:tcPr>
            <w:tcW w:w="2340"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794"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536"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771"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r>
      <w:tr>
        <w:tblPrEx>
          <w:tblCellMar>
            <w:top w:w="0" w:type="dxa"/>
            <w:left w:w="0" w:type="dxa"/>
            <w:bottom w:w="0" w:type="dxa"/>
            <w:right w:w="0" w:type="dxa"/>
          </w:tblCellMar>
        </w:tblPrEx>
        <w:trPr>
          <w:trHeight w:val="454" w:hRule="atLeast"/>
        </w:trPr>
        <w:tc>
          <w:tcPr>
            <w:tcW w:w="7520" w:type="dxa"/>
            <w:tcBorders>
              <w:top w:val="single" w:color="auto" w:sz="4" w:space="0"/>
              <w:left w:val="single" w:color="auto" w:sz="4" w:space="0"/>
              <w:bottom w:val="single" w:color="auto" w:sz="4" w:space="0"/>
              <w:right w:val="single" w:color="000000"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eastAsia="宋体"/>
                <w:sz w:val="21"/>
                <w:szCs w:val="21"/>
                <w:lang w:eastAsia="zh-CN"/>
              </w:rPr>
              <w:t>响应</w:t>
            </w:r>
            <w:r>
              <w:rPr>
                <w:rFonts w:hint="eastAsia" w:ascii="宋体" w:hAnsi="宋体" w:eastAsia="宋体"/>
                <w:sz w:val="21"/>
                <w:szCs w:val="21"/>
              </w:rPr>
              <w:t>文件</w:t>
            </w:r>
            <w:r>
              <w:rPr>
                <w:rFonts w:hint="eastAsia" w:ascii="宋体" w:hAnsi="宋体" w:eastAsia="宋体"/>
                <w:sz w:val="21"/>
                <w:szCs w:val="21"/>
                <w:lang w:eastAsia="zh-CN"/>
              </w:rPr>
              <w:t>是否</w:t>
            </w:r>
            <w:r>
              <w:rPr>
                <w:rFonts w:hint="eastAsia" w:ascii="宋体" w:hAnsi="宋体" w:eastAsia="宋体"/>
                <w:sz w:val="21"/>
                <w:szCs w:val="21"/>
              </w:rPr>
              <w:t>按第六章“</w:t>
            </w:r>
            <w:r>
              <w:rPr>
                <w:rFonts w:hint="eastAsia" w:ascii="宋体" w:hAnsi="宋体" w:eastAsia="宋体"/>
                <w:sz w:val="21"/>
                <w:szCs w:val="21"/>
                <w:lang w:eastAsia="zh-CN"/>
              </w:rPr>
              <w:t>响应</w:t>
            </w:r>
            <w:r>
              <w:rPr>
                <w:rFonts w:hint="eastAsia" w:ascii="宋体" w:hAnsi="宋体" w:eastAsia="宋体"/>
                <w:sz w:val="21"/>
                <w:szCs w:val="21"/>
              </w:rPr>
              <w:t>文件格式”进行编写</w:t>
            </w:r>
          </w:p>
        </w:tc>
        <w:tc>
          <w:tcPr>
            <w:tcW w:w="2340"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794"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536"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771"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r>
      <w:tr>
        <w:tblPrEx>
          <w:tblCellMar>
            <w:top w:w="0" w:type="dxa"/>
            <w:left w:w="0" w:type="dxa"/>
            <w:bottom w:w="0" w:type="dxa"/>
            <w:right w:w="0" w:type="dxa"/>
          </w:tblCellMar>
        </w:tblPrEx>
        <w:trPr>
          <w:trHeight w:val="800" w:hRule="atLeast"/>
        </w:trPr>
        <w:tc>
          <w:tcPr>
            <w:tcW w:w="7520" w:type="dxa"/>
            <w:tcBorders>
              <w:top w:val="single" w:color="auto" w:sz="4" w:space="0"/>
              <w:left w:val="single" w:color="auto" w:sz="4" w:space="0"/>
              <w:bottom w:val="single" w:color="auto" w:sz="4" w:space="0"/>
              <w:right w:val="single" w:color="000000"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eastAsia="宋体"/>
                <w:sz w:val="21"/>
                <w:szCs w:val="21"/>
                <w:lang w:eastAsia="zh-CN"/>
              </w:rPr>
              <w:t>响应</w:t>
            </w:r>
            <w:r>
              <w:rPr>
                <w:rFonts w:hint="eastAsia" w:ascii="宋体" w:hAnsi="宋体" w:eastAsia="宋体"/>
                <w:sz w:val="21"/>
                <w:szCs w:val="21"/>
              </w:rPr>
              <w:t>文件中</w:t>
            </w:r>
            <w:r>
              <w:rPr>
                <w:rFonts w:hint="eastAsia" w:ascii="宋体" w:hAnsi="宋体" w:eastAsia="宋体"/>
                <w:sz w:val="21"/>
                <w:szCs w:val="21"/>
                <w:lang w:eastAsia="zh-CN"/>
              </w:rPr>
              <w:t>谈判响应</w:t>
            </w:r>
            <w:r>
              <w:rPr>
                <w:rFonts w:hint="eastAsia" w:ascii="宋体" w:hAnsi="宋体" w:eastAsia="宋体"/>
                <w:sz w:val="21"/>
                <w:szCs w:val="21"/>
              </w:rPr>
              <w:t>函的总报价（大写）和已标价的物资采购清单中的总价金额，</w:t>
            </w:r>
            <w:r>
              <w:rPr>
                <w:rFonts w:hint="eastAsia" w:ascii="宋体" w:hAnsi="宋体" w:eastAsia="宋体"/>
                <w:sz w:val="21"/>
                <w:szCs w:val="21"/>
                <w:lang w:eastAsia="zh-CN"/>
              </w:rPr>
              <w:t>两</w:t>
            </w:r>
            <w:r>
              <w:rPr>
                <w:rFonts w:hint="eastAsia" w:ascii="宋体" w:hAnsi="宋体" w:eastAsia="宋体"/>
                <w:sz w:val="21"/>
                <w:szCs w:val="21"/>
              </w:rPr>
              <w:t>者应</w:t>
            </w:r>
            <w:r>
              <w:rPr>
                <w:rFonts w:hint="eastAsia" w:ascii="宋体" w:hAnsi="宋体" w:eastAsia="宋体"/>
                <w:sz w:val="21"/>
                <w:szCs w:val="21"/>
                <w:lang w:eastAsia="zh-CN"/>
              </w:rPr>
              <w:t>是否</w:t>
            </w:r>
            <w:r>
              <w:rPr>
                <w:rFonts w:hint="eastAsia" w:ascii="宋体" w:hAnsi="宋体" w:eastAsia="宋体"/>
                <w:sz w:val="21"/>
                <w:szCs w:val="21"/>
              </w:rPr>
              <w:t>一致</w:t>
            </w:r>
          </w:p>
        </w:tc>
        <w:tc>
          <w:tcPr>
            <w:tcW w:w="2340"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794"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536"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771"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r>
      <w:tr>
        <w:tblPrEx>
          <w:tblCellMar>
            <w:top w:w="0" w:type="dxa"/>
            <w:left w:w="0" w:type="dxa"/>
            <w:bottom w:w="0" w:type="dxa"/>
            <w:right w:w="0" w:type="dxa"/>
          </w:tblCellMar>
        </w:tblPrEx>
        <w:trPr>
          <w:trHeight w:val="401" w:hRule="atLeast"/>
        </w:trPr>
        <w:tc>
          <w:tcPr>
            <w:tcW w:w="7520" w:type="dxa"/>
            <w:tcBorders>
              <w:top w:val="single" w:color="auto" w:sz="4" w:space="0"/>
              <w:left w:val="single" w:color="auto" w:sz="4" w:space="0"/>
              <w:bottom w:val="single" w:color="auto" w:sz="4" w:space="0"/>
              <w:right w:val="single" w:color="000000"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sz w:val="21"/>
                <w:szCs w:val="21"/>
              </w:rPr>
              <w:t>结    论</w:t>
            </w:r>
          </w:p>
        </w:tc>
        <w:tc>
          <w:tcPr>
            <w:tcW w:w="234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794"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1536"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c>
          <w:tcPr>
            <w:tcW w:w="771"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1"/>
                <w:szCs w:val="21"/>
              </w:rPr>
            </w:pPr>
          </w:p>
        </w:tc>
      </w:tr>
    </w:tbl>
    <w:p>
      <w:pPr>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 w:val="18"/>
          <w:szCs w:val="18"/>
        </w:rPr>
      </w:pPr>
      <w:r>
        <w:rPr>
          <w:rFonts w:hint="eastAsia" w:ascii="宋体" w:hAnsi="宋体"/>
          <w:color w:val="000000"/>
          <w:sz w:val="18"/>
          <w:szCs w:val="18"/>
        </w:rPr>
        <w:t>注：1、响应人分栏中填写“√”表示该项符合竞争性谈判文件要求，“×”表示该项不符合竞争性谈判文件要求；</w:t>
      </w:r>
    </w:p>
    <w:p>
      <w:pPr>
        <w:pageBreakBefore w:val="0"/>
        <w:widowControl w:val="0"/>
        <w:kinsoku/>
        <w:wordWrap/>
        <w:overflowPunct/>
        <w:topLinePunct w:val="0"/>
        <w:autoSpaceDE/>
        <w:autoSpaceDN/>
        <w:bidi w:val="0"/>
        <w:adjustRightInd/>
        <w:snapToGrid/>
        <w:spacing w:line="400" w:lineRule="exact"/>
        <w:ind w:firstLine="360" w:firstLineChars="200"/>
        <w:textAlignment w:val="auto"/>
        <w:rPr>
          <w:rFonts w:ascii="宋体" w:hAnsi="宋体"/>
          <w:color w:val="000000"/>
          <w:sz w:val="18"/>
          <w:szCs w:val="18"/>
        </w:rPr>
      </w:pPr>
      <w:r>
        <w:rPr>
          <w:rFonts w:hint="eastAsia" w:ascii="宋体" w:hAnsi="宋体"/>
          <w:color w:val="000000"/>
          <w:sz w:val="18"/>
          <w:szCs w:val="18"/>
        </w:rPr>
        <w:t>2、结论栏中填写“通过”表示该响应人响应文件符合竞争性谈判文件要求，“不通过”表示该响应人响应文件不符合竞争性谈判文件要求；</w:t>
      </w:r>
    </w:p>
    <w:p>
      <w:pPr>
        <w:pageBreakBefore w:val="0"/>
        <w:widowControl w:val="0"/>
        <w:kinsoku/>
        <w:wordWrap/>
        <w:overflowPunct/>
        <w:topLinePunct w:val="0"/>
        <w:autoSpaceDE/>
        <w:autoSpaceDN/>
        <w:bidi w:val="0"/>
        <w:adjustRightInd/>
        <w:snapToGrid/>
        <w:spacing w:line="400" w:lineRule="exact"/>
        <w:ind w:firstLine="360" w:firstLineChars="200"/>
        <w:textAlignment w:val="auto"/>
        <w:rPr>
          <w:rFonts w:ascii="宋体" w:hAnsi="宋体"/>
          <w:color w:val="000000"/>
          <w:szCs w:val="21"/>
        </w:rPr>
      </w:pPr>
      <w:r>
        <w:rPr>
          <w:rFonts w:hint="eastAsia" w:ascii="宋体" w:hAnsi="宋体"/>
          <w:color w:val="000000"/>
          <w:sz w:val="18"/>
          <w:szCs w:val="18"/>
        </w:rPr>
        <w:t>3、汇总结论按少数服从多数原则确定。</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b/>
          <w:spacing w:val="46"/>
          <w:sz w:val="24"/>
          <w:szCs w:val="24"/>
          <w:u w:val="single"/>
        </w:rPr>
      </w:pPr>
      <w:r>
        <w:rPr>
          <w:rFonts w:hint="eastAsia" w:ascii="宋体" w:hAnsi="宋体"/>
          <w:color w:val="000000"/>
          <w:sz w:val="24"/>
          <w:szCs w:val="24"/>
        </w:rPr>
        <w:t>谈判小组全体成员签字</w:t>
      </w:r>
      <w:r>
        <w:rPr>
          <w:rFonts w:hint="eastAsia" w:ascii="宋体" w:hAnsi="宋体"/>
          <w:b/>
          <w:spacing w:val="46"/>
          <w:sz w:val="24"/>
          <w:szCs w:val="24"/>
        </w:rPr>
        <w:t>：</w:t>
      </w:r>
      <w:r>
        <w:rPr>
          <w:rFonts w:hint="eastAsia" w:ascii="宋体" w:hAnsi="宋体"/>
          <w:b/>
          <w:spacing w:val="46"/>
          <w:sz w:val="24"/>
          <w:szCs w:val="24"/>
          <w:u w:val="single"/>
        </w:rPr>
        <w:t xml:space="preserve">         </w:t>
      </w:r>
      <w:r>
        <w:rPr>
          <w:rFonts w:ascii="宋体" w:hAnsi="宋体"/>
          <w:b/>
          <w:spacing w:val="46"/>
          <w:sz w:val="24"/>
          <w:szCs w:val="24"/>
          <w:u w:val="single"/>
        </w:rPr>
        <w:t xml:space="preserve">                  </w:t>
      </w:r>
      <w:r>
        <w:rPr>
          <w:rFonts w:hint="eastAsia" w:ascii="宋体" w:hAnsi="宋体"/>
          <w:b/>
          <w:spacing w:val="46"/>
          <w:sz w:val="24"/>
          <w:szCs w:val="24"/>
          <w:u w:val="single"/>
        </w:rPr>
        <w:t xml:space="preserve">  </w:t>
      </w:r>
    </w:p>
    <w:p>
      <w:pPr>
        <w:pStyle w:val="2"/>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宋体" w:hAnsi="宋体"/>
          <w:b/>
          <w:bCs/>
          <w:sz w:val="32"/>
          <w:szCs w:val="32"/>
          <w:lang w:eastAsia="zh-CN"/>
        </w:rPr>
        <w:sectPr>
          <w:pgSz w:w="16838" w:h="11906" w:orient="landscape"/>
          <w:pgMar w:top="1797" w:right="1440" w:bottom="1469"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2"/>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rPr>
      </w:pPr>
      <w:r>
        <w:rPr>
          <w:rFonts w:hint="eastAsia" w:ascii="宋体" w:hAnsi="宋体"/>
          <w:b/>
          <w:bCs/>
          <w:sz w:val="32"/>
          <w:szCs w:val="32"/>
          <w:lang w:eastAsia="zh-CN"/>
        </w:rPr>
        <w:t>七、</w:t>
      </w:r>
      <w:r>
        <w:rPr>
          <w:rFonts w:hint="eastAsia" w:ascii="宋体" w:hAnsi="宋体"/>
          <w:b/>
          <w:bCs/>
          <w:sz w:val="32"/>
          <w:szCs w:val="32"/>
        </w:rPr>
        <w:t>资格审查</w:t>
      </w:r>
    </w:p>
    <w:p>
      <w:pPr>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项目名称</w:t>
      </w:r>
      <w:r>
        <w:rPr>
          <w:rFonts w:hint="eastAsia" w:ascii="宋体" w:hAnsi="宋体"/>
          <w:szCs w:val="21"/>
          <w:lang w:val="en-US" w:eastAsia="zh-CN"/>
        </w:rPr>
        <w:t>广元燃机工程建设期生活用房家具采购</w:t>
      </w:r>
    </w:p>
    <w:p>
      <w:pPr>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谈判地点：</w:t>
      </w:r>
      <w:r>
        <w:rPr>
          <w:rFonts w:hint="eastAsia" w:ascii="宋体" w:hAnsi="宋体"/>
          <w:szCs w:val="21"/>
          <w:lang w:val="en-US" w:eastAsia="zh-CN"/>
        </w:rPr>
        <w:t>成都市武侯区天府大道中段279号成达大厦10楼</w:t>
      </w:r>
      <w:r>
        <w:rPr>
          <w:rFonts w:hint="eastAsia" w:ascii="宋体" w:hAnsi="宋体"/>
          <w:szCs w:val="21"/>
        </w:rPr>
        <w:t xml:space="preserve"> </w:t>
      </w:r>
    </w:p>
    <w:p>
      <w:pPr>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谈判时间：</w:t>
      </w:r>
      <w:r>
        <w:rPr>
          <w:rFonts w:hint="eastAsia" w:ascii="宋体" w:hAnsi="宋体"/>
          <w:szCs w:val="21"/>
          <w:lang w:val="en-US" w:eastAsia="zh-CN"/>
        </w:rPr>
        <w:t>2022年5月18日</w:t>
      </w:r>
      <w:r>
        <w:rPr>
          <w:rFonts w:hint="eastAsia" w:ascii="宋体" w:hAnsi="宋体"/>
          <w:szCs w:val="21"/>
        </w:rPr>
        <w:t xml:space="preserve">  </w:t>
      </w:r>
    </w:p>
    <w:p>
      <w:pPr>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采购人：四川能投广元燃气发电有限公司</w:t>
      </w:r>
    </w:p>
    <w:tbl>
      <w:tblPr>
        <w:tblStyle w:val="17"/>
        <w:tblW w:w="0" w:type="auto"/>
        <w:tblInd w:w="16" w:type="dxa"/>
        <w:tblLayout w:type="fixed"/>
        <w:tblCellMar>
          <w:top w:w="0" w:type="dxa"/>
          <w:left w:w="0" w:type="dxa"/>
          <w:bottom w:w="0" w:type="dxa"/>
          <w:right w:w="0" w:type="dxa"/>
        </w:tblCellMar>
      </w:tblPr>
      <w:tblGrid>
        <w:gridCol w:w="5279"/>
        <w:gridCol w:w="3015"/>
        <w:gridCol w:w="2460"/>
        <w:gridCol w:w="2370"/>
        <w:gridCol w:w="1335"/>
      </w:tblGrid>
      <w:tr>
        <w:tblPrEx>
          <w:tblCellMar>
            <w:top w:w="0" w:type="dxa"/>
            <w:left w:w="0" w:type="dxa"/>
            <w:bottom w:w="0" w:type="dxa"/>
            <w:right w:w="0" w:type="dxa"/>
          </w:tblCellMar>
        </w:tblPrEx>
        <w:trPr>
          <w:cantSplit/>
          <w:trHeight w:val="126" w:hRule="atLeast"/>
        </w:trPr>
        <w:tc>
          <w:tcPr>
            <w:tcW w:w="5279" w:type="dxa"/>
            <w:vMerge w:val="restart"/>
            <w:tcBorders>
              <w:top w:val="single" w:color="auto" w:sz="4" w:space="0"/>
              <w:left w:val="single" w:color="auto" w:sz="4" w:space="0"/>
              <w:bottom w:val="single" w:color="000000" w:sz="4" w:space="0"/>
              <w:right w:val="single" w:color="000000"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szCs w:val="24"/>
              </w:rPr>
            </w:pPr>
            <w:r>
              <w:rPr>
                <w:rFonts w:hint="eastAsia" w:ascii="宋体" w:hAnsi="宋体"/>
                <w:b/>
                <w:sz w:val="24"/>
                <w:szCs w:val="24"/>
              </w:rPr>
              <w:t>评审内容</w:t>
            </w:r>
          </w:p>
        </w:tc>
        <w:tc>
          <w:tcPr>
            <w:tcW w:w="9180" w:type="dxa"/>
            <w:gridSpan w:val="4"/>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bottom"/>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szCs w:val="24"/>
              </w:rPr>
            </w:pPr>
            <w:r>
              <w:rPr>
                <w:rFonts w:hint="eastAsia" w:ascii="宋体" w:hAnsi="宋体"/>
                <w:b/>
                <w:sz w:val="24"/>
                <w:szCs w:val="24"/>
              </w:rPr>
              <w:t>响应人</w:t>
            </w:r>
          </w:p>
        </w:tc>
      </w:tr>
      <w:tr>
        <w:tblPrEx>
          <w:tblCellMar>
            <w:top w:w="0" w:type="dxa"/>
            <w:left w:w="0" w:type="dxa"/>
            <w:bottom w:w="0" w:type="dxa"/>
            <w:right w:w="0" w:type="dxa"/>
          </w:tblCellMar>
        </w:tblPrEx>
        <w:trPr>
          <w:cantSplit/>
          <w:trHeight w:val="196" w:hRule="atLeast"/>
        </w:trPr>
        <w:tc>
          <w:tcPr>
            <w:tcW w:w="5279" w:type="dxa"/>
            <w:vMerge w:val="continue"/>
            <w:tcBorders>
              <w:top w:val="single" w:color="auto" w:sz="4" w:space="0"/>
              <w:left w:val="single" w:color="auto"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4"/>
              </w:rPr>
            </w:pPr>
          </w:p>
        </w:tc>
        <w:tc>
          <w:tcPr>
            <w:tcW w:w="301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szCs w:val="24"/>
              </w:rPr>
            </w:pPr>
            <w:r>
              <w:rPr>
                <w:rFonts w:hint="eastAsia" w:ascii="宋体" w:hAnsi="宋体"/>
                <w:b/>
                <w:sz w:val="24"/>
                <w:szCs w:val="24"/>
              </w:rPr>
              <w:t>响应人1</w:t>
            </w:r>
          </w:p>
        </w:tc>
        <w:tc>
          <w:tcPr>
            <w:tcW w:w="246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szCs w:val="24"/>
              </w:rPr>
            </w:pPr>
            <w:r>
              <w:rPr>
                <w:rFonts w:hint="eastAsia" w:ascii="宋体" w:hAnsi="宋体"/>
                <w:b/>
                <w:sz w:val="24"/>
                <w:szCs w:val="24"/>
              </w:rPr>
              <w:t>响应人2</w:t>
            </w:r>
          </w:p>
        </w:tc>
        <w:tc>
          <w:tcPr>
            <w:tcW w:w="237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szCs w:val="24"/>
              </w:rPr>
            </w:pPr>
            <w:r>
              <w:rPr>
                <w:rFonts w:hint="eastAsia" w:ascii="宋体" w:hAnsi="宋体"/>
                <w:b/>
                <w:sz w:val="24"/>
                <w:szCs w:val="24"/>
              </w:rPr>
              <w:t>响应人3</w:t>
            </w:r>
          </w:p>
        </w:tc>
        <w:tc>
          <w:tcPr>
            <w:tcW w:w="133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szCs w:val="24"/>
              </w:rPr>
            </w:pPr>
            <w:r>
              <w:rPr>
                <w:rFonts w:ascii="宋体" w:hAnsi="宋体"/>
                <w:b/>
                <w:sz w:val="24"/>
                <w:szCs w:val="24"/>
              </w:rPr>
              <w:t>……</w:t>
            </w:r>
          </w:p>
        </w:tc>
      </w:tr>
      <w:tr>
        <w:tblPrEx>
          <w:tblCellMar>
            <w:top w:w="0" w:type="dxa"/>
            <w:left w:w="0" w:type="dxa"/>
            <w:bottom w:w="0" w:type="dxa"/>
            <w:right w:w="0" w:type="dxa"/>
          </w:tblCellMar>
        </w:tblPrEx>
        <w:trPr>
          <w:trHeight w:val="291" w:hRule="atLeast"/>
        </w:trPr>
        <w:tc>
          <w:tcPr>
            <w:tcW w:w="5279" w:type="dxa"/>
            <w:tcBorders>
              <w:top w:val="single" w:color="auto" w:sz="4" w:space="0"/>
              <w:left w:val="single" w:color="auto"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4"/>
              </w:rPr>
            </w:pPr>
            <w:r>
              <w:rPr>
                <w:rFonts w:hint="eastAsia" w:ascii="宋体" w:hAnsi="宋体" w:cs="宋体"/>
                <w:kern w:val="0"/>
                <w:sz w:val="24"/>
                <w:szCs w:val="22"/>
                <w:lang w:eastAsia="zh-CN"/>
              </w:rPr>
              <w:t>营业执照范围内是否包含销售或生产家具</w:t>
            </w:r>
          </w:p>
        </w:tc>
        <w:tc>
          <w:tcPr>
            <w:tcW w:w="301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246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237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133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r>
      <w:tr>
        <w:tblPrEx>
          <w:tblCellMar>
            <w:top w:w="0" w:type="dxa"/>
            <w:left w:w="0" w:type="dxa"/>
            <w:bottom w:w="0" w:type="dxa"/>
            <w:right w:w="0" w:type="dxa"/>
          </w:tblCellMar>
        </w:tblPrEx>
        <w:trPr>
          <w:trHeight w:val="291" w:hRule="atLeast"/>
        </w:trPr>
        <w:tc>
          <w:tcPr>
            <w:tcW w:w="5279" w:type="dxa"/>
            <w:tcBorders>
              <w:top w:val="single" w:color="auto" w:sz="4" w:space="0"/>
              <w:left w:val="single" w:color="auto"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rPr>
            </w:pPr>
            <w:r>
              <w:rPr>
                <w:rFonts w:hint="eastAsia" w:ascii="宋体" w:hAnsi="宋体" w:cs="宋体"/>
                <w:kern w:val="0"/>
                <w:sz w:val="24"/>
                <w:lang w:eastAsia="zh-CN"/>
              </w:rPr>
              <w:t>响应人财务是否满足要求</w:t>
            </w:r>
          </w:p>
        </w:tc>
        <w:tc>
          <w:tcPr>
            <w:tcW w:w="301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246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237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133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r>
      <w:tr>
        <w:tblPrEx>
          <w:tblCellMar>
            <w:top w:w="0" w:type="dxa"/>
            <w:left w:w="0" w:type="dxa"/>
            <w:bottom w:w="0" w:type="dxa"/>
            <w:right w:w="0" w:type="dxa"/>
          </w:tblCellMar>
        </w:tblPrEx>
        <w:trPr>
          <w:trHeight w:val="291" w:hRule="atLeast"/>
        </w:trPr>
        <w:tc>
          <w:tcPr>
            <w:tcW w:w="5279" w:type="dxa"/>
            <w:tcBorders>
              <w:top w:val="single" w:color="auto" w:sz="4" w:space="0"/>
              <w:left w:val="single" w:color="auto"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kern w:val="0"/>
                <w:sz w:val="24"/>
                <w:lang w:eastAsia="zh-CN"/>
              </w:rPr>
            </w:pPr>
            <w:r>
              <w:rPr>
                <w:rFonts w:hint="eastAsia" w:ascii="宋体" w:hAnsi="宋体" w:cs="宋体"/>
                <w:kern w:val="0"/>
                <w:sz w:val="24"/>
                <w:lang w:eastAsia="zh-CN"/>
              </w:rPr>
              <w:t>响应人业绩是否满足要求</w:t>
            </w:r>
          </w:p>
        </w:tc>
        <w:tc>
          <w:tcPr>
            <w:tcW w:w="301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246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237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133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r>
      <w:tr>
        <w:tblPrEx>
          <w:tblCellMar>
            <w:top w:w="0" w:type="dxa"/>
            <w:left w:w="0" w:type="dxa"/>
            <w:bottom w:w="0" w:type="dxa"/>
            <w:right w:w="0" w:type="dxa"/>
          </w:tblCellMar>
        </w:tblPrEx>
        <w:trPr>
          <w:trHeight w:val="383" w:hRule="atLeast"/>
        </w:trPr>
        <w:tc>
          <w:tcPr>
            <w:tcW w:w="5279"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4"/>
              </w:rPr>
            </w:pPr>
            <w:r>
              <w:rPr>
                <w:rFonts w:hint="eastAsia" w:ascii="宋体" w:hAnsi="宋体" w:cs="宋体"/>
                <w:kern w:val="0"/>
                <w:sz w:val="24"/>
                <w:lang w:eastAsia="zh-CN"/>
              </w:rPr>
              <w:t>响应人信誉是否满足要求</w:t>
            </w:r>
          </w:p>
        </w:tc>
        <w:tc>
          <w:tcPr>
            <w:tcW w:w="301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246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237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133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r>
      <w:tr>
        <w:tblPrEx>
          <w:tblCellMar>
            <w:top w:w="0" w:type="dxa"/>
            <w:left w:w="0" w:type="dxa"/>
            <w:bottom w:w="0" w:type="dxa"/>
            <w:right w:w="0" w:type="dxa"/>
          </w:tblCellMar>
        </w:tblPrEx>
        <w:trPr>
          <w:trHeight w:val="401" w:hRule="atLeast"/>
        </w:trPr>
        <w:tc>
          <w:tcPr>
            <w:tcW w:w="5279" w:type="dxa"/>
            <w:tcBorders>
              <w:top w:val="single" w:color="auto" w:sz="4" w:space="0"/>
              <w:left w:val="single" w:color="auto" w:sz="4" w:space="0"/>
              <w:bottom w:val="single" w:color="auto" w:sz="4" w:space="0"/>
              <w:right w:val="single" w:color="000000"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4"/>
              </w:rPr>
            </w:pPr>
            <w:r>
              <w:rPr>
                <w:rFonts w:hint="eastAsia" w:ascii="宋体" w:hAnsi="宋体"/>
                <w:sz w:val="24"/>
                <w:szCs w:val="24"/>
              </w:rPr>
              <w:t>结    论</w:t>
            </w:r>
          </w:p>
        </w:tc>
        <w:tc>
          <w:tcPr>
            <w:tcW w:w="301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246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237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c>
          <w:tcPr>
            <w:tcW w:w="133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4"/>
              </w:rPr>
            </w:pPr>
          </w:p>
        </w:tc>
      </w:tr>
    </w:tbl>
    <w:p>
      <w:pPr>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 w:val="18"/>
          <w:szCs w:val="18"/>
        </w:rPr>
      </w:pPr>
      <w:r>
        <w:rPr>
          <w:rFonts w:hint="eastAsia" w:ascii="宋体" w:hAnsi="宋体"/>
          <w:color w:val="000000"/>
          <w:sz w:val="18"/>
          <w:szCs w:val="18"/>
        </w:rPr>
        <w:t>注：1、响应人分栏中填写“√”表示该项符合竞争性谈判文件要求，“×”表示该项不符合竞争性谈判文件要求；</w:t>
      </w:r>
    </w:p>
    <w:p>
      <w:pPr>
        <w:pageBreakBefore w:val="0"/>
        <w:widowControl w:val="0"/>
        <w:kinsoku/>
        <w:wordWrap/>
        <w:overflowPunct/>
        <w:topLinePunct w:val="0"/>
        <w:autoSpaceDE/>
        <w:autoSpaceDN/>
        <w:bidi w:val="0"/>
        <w:adjustRightInd/>
        <w:snapToGrid/>
        <w:spacing w:line="400" w:lineRule="exact"/>
        <w:ind w:firstLine="360" w:firstLineChars="200"/>
        <w:textAlignment w:val="auto"/>
        <w:rPr>
          <w:rFonts w:ascii="宋体" w:hAnsi="宋体"/>
          <w:color w:val="000000"/>
          <w:sz w:val="18"/>
          <w:szCs w:val="18"/>
        </w:rPr>
      </w:pPr>
      <w:r>
        <w:rPr>
          <w:rFonts w:hint="eastAsia" w:ascii="宋体" w:hAnsi="宋体"/>
          <w:color w:val="000000"/>
          <w:sz w:val="18"/>
          <w:szCs w:val="18"/>
        </w:rPr>
        <w:t>2、结论栏中填写“通过”表示该响应人响应文件符合竞争性谈判文件要求，“不通过”表示该响应人响应文件不符合竞争性谈判文件要求；</w:t>
      </w:r>
    </w:p>
    <w:p>
      <w:pPr>
        <w:pageBreakBefore w:val="0"/>
        <w:widowControl w:val="0"/>
        <w:kinsoku/>
        <w:wordWrap/>
        <w:overflowPunct/>
        <w:topLinePunct w:val="0"/>
        <w:autoSpaceDE/>
        <w:autoSpaceDN/>
        <w:bidi w:val="0"/>
        <w:adjustRightInd/>
        <w:snapToGrid/>
        <w:spacing w:line="400" w:lineRule="exact"/>
        <w:ind w:firstLine="360" w:firstLineChars="200"/>
        <w:textAlignment w:val="auto"/>
        <w:rPr>
          <w:rFonts w:ascii="宋体" w:hAnsi="宋体"/>
          <w:color w:val="000000"/>
          <w:szCs w:val="21"/>
        </w:rPr>
      </w:pPr>
      <w:r>
        <w:rPr>
          <w:rFonts w:hint="eastAsia" w:ascii="宋体" w:hAnsi="宋体"/>
          <w:color w:val="000000"/>
          <w:sz w:val="18"/>
          <w:szCs w:val="18"/>
        </w:rPr>
        <w:t>3、汇总结论按少数服从多数原则确定。</w:t>
      </w:r>
    </w:p>
    <w:p>
      <w:pPr>
        <w:pageBreakBefore w:val="0"/>
        <w:widowControl w:val="0"/>
        <w:numPr>
          <w:ilvl w:val="4"/>
          <w:numId w:val="1"/>
        </w:numPr>
        <w:kinsoku/>
        <w:wordWrap/>
        <w:overflowPunct/>
        <w:topLinePunct w:val="0"/>
        <w:autoSpaceDE/>
        <w:autoSpaceDN/>
        <w:bidi w:val="0"/>
        <w:adjustRightInd/>
        <w:snapToGrid/>
        <w:spacing w:line="400" w:lineRule="exact"/>
        <w:jc w:val="both"/>
        <w:textAlignment w:val="auto"/>
        <w:rPr>
          <w:rFonts w:hint="eastAsia" w:ascii="宋体" w:hAnsi="宋体"/>
          <w:b/>
          <w:bCs/>
          <w:sz w:val="32"/>
          <w:szCs w:val="32"/>
        </w:rPr>
      </w:pPr>
      <w:r>
        <w:rPr>
          <w:rFonts w:hint="eastAsia" w:ascii="宋体" w:hAnsi="宋体"/>
          <w:color w:val="000000"/>
          <w:sz w:val="24"/>
          <w:szCs w:val="24"/>
        </w:rPr>
        <w:t>谈判小组全体成员签字</w:t>
      </w:r>
      <w:r>
        <w:rPr>
          <w:rFonts w:hint="eastAsia" w:ascii="宋体" w:hAnsi="宋体"/>
          <w:b/>
          <w:spacing w:val="46"/>
          <w:sz w:val="24"/>
          <w:szCs w:val="24"/>
        </w:rPr>
        <w:t>：</w:t>
      </w:r>
      <w:r>
        <w:rPr>
          <w:rFonts w:hint="eastAsia" w:ascii="宋体" w:hAnsi="宋体"/>
          <w:b/>
          <w:spacing w:val="46"/>
          <w:sz w:val="24"/>
          <w:szCs w:val="24"/>
          <w:u w:val="single"/>
        </w:rPr>
        <w:t xml:space="preserve">         </w:t>
      </w:r>
      <w:r>
        <w:rPr>
          <w:rFonts w:ascii="宋体" w:hAnsi="宋体"/>
          <w:b/>
          <w:spacing w:val="46"/>
          <w:sz w:val="24"/>
          <w:szCs w:val="24"/>
          <w:u w:val="single"/>
        </w:rPr>
        <w:t xml:space="preserve">                  </w:t>
      </w:r>
      <w:r>
        <w:rPr>
          <w:rFonts w:hint="eastAsia" w:ascii="宋体" w:hAnsi="宋体"/>
          <w:b/>
          <w:spacing w:val="46"/>
          <w:sz w:val="24"/>
          <w:szCs w:val="24"/>
          <w:u w:val="single"/>
        </w:rPr>
        <w:t xml:space="preserve"> </w:t>
      </w:r>
    </w:p>
    <w:p>
      <w:pPr>
        <w:numPr>
          <w:ilvl w:val="0"/>
          <w:numId w:val="0"/>
        </w:numPr>
        <w:kinsoku/>
        <w:overflowPunct/>
        <w:topLinePunct w:val="0"/>
        <w:bidi w:val="0"/>
        <w:spacing w:line="560" w:lineRule="exact"/>
        <w:jc w:val="center"/>
        <w:rPr>
          <w:rFonts w:hint="eastAsia" w:ascii="宋体" w:hAnsi="宋体"/>
          <w:b/>
          <w:bCs/>
          <w:sz w:val="32"/>
          <w:szCs w:val="32"/>
          <w:lang w:eastAsia="zh-CN"/>
        </w:rPr>
      </w:pPr>
    </w:p>
    <w:p>
      <w:pPr>
        <w:numPr>
          <w:ilvl w:val="0"/>
          <w:numId w:val="0"/>
        </w:numPr>
        <w:kinsoku/>
        <w:overflowPunct/>
        <w:topLinePunct w:val="0"/>
        <w:bidi w:val="0"/>
        <w:spacing w:line="560" w:lineRule="exact"/>
        <w:jc w:val="center"/>
        <w:rPr>
          <w:rFonts w:hint="eastAsia" w:ascii="宋体" w:hAnsi="宋体"/>
          <w:b/>
          <w:bCs/>
          <w:sz w:val="32"/>
          <w:szCs w:val="32"/>
          <w:lang w:eastAsia="zh-CN"/>
        </w:rPr>
      </w:pPr>
    </w:p>
    <w:p>
      <w:pPr>
        <w:rPr>
          <w:rFonts w:hint="eastAsia" w:ascii="宋体" w:hAnsi="宋体"/>
          <w:b/>
          <w:bCs/>
          <w:sz w:val="32"/>
          <w:szCs w:val="32"/>
          <w:lang w:eastAsia="zh-CN"/>
        </w:rPr>
      </w:pPr>
      <w:r>
        <w:rPr>
          <w:rFonts w:hint="eastAsia" w:ascii="宋体" w:hAnsi="宋体"/>
          <w:b/>
          <w:bCs/>
          <w:sz w:val="32"/>
          <w:szCs w:val="32"/>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b/>
          <w:bCs/>
          <w:sz w:val="32"/>
          <w:szCs w:val="32"/>
        </w:rPr>
      </w:pPr>
      <w:r>
        <w:rPr>
          <w:rFonts w:hint="eastAsia" w:ascii="宋体" w:hAnsi="宋体"/>
          <w:b/>
          <w:bCs/>
          <w:sz w:val="32"/>
          <w:szCs w:val="32"/>
          <w:lang w:eastAsia="zh-CN"/>
        </w:rPr>
        <w:t>八、</w:t>
      </w:r>
      <w:r>
        <w:rPr>
          <w:rFonts w:hint="eastAsia" w:ascii="宋体" w:hAnsi="宋体"/>
          <w:b/>
          <w:bCs/>
          <w:sz w:val="32"/>
          <w:szCs w:val="32"/>
        </w:rPr>
        <w:t>响应性评审表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szCs w:val="21"/>
        </w:rPr>
      </w:pPr>
      <w:r>
        <w:rPr>
          <w:rFonts w:hint="eastAsia" w:ascii="宋体" w:hAnsi="宋体"/>
          <w:szCs w:val="21"/>
        </w:rPr>
        <w:t>项目名称：</w:t>
      </w:r>
      <w:r>
        <w:rPr>
          <w:rFonts w:hint="eastAsia" w:ascii="宋体" w:hAnsi="宋体"/>
          <w:szCs w:val="21"/>
          <w:lang w:val="en-US" w:eastAsia="zh-CN"/>
        </w:rPr>
        <w:t>广元燃机工程建设期生活用房家具采购</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szCs w:val="21"/>
        </w:rPr>
      </w:pPr>
      <w:r>
        <w:rPr>
          <w:rFonts w:hint="eastAsia" w:ascii="宋体" w:hAnsi="宋体"/>
          <w:szCs w:val="21"/>
        </w:rPr>
        <w:t>谈判地点：</w:t>
      </w:r>
      <w:r>
        <w:rPr>
          <w:rFonts w:hint="eastAsia" w:ascii="宋体" w:hAnsi="宋体"/>
          <w:szCs w:val="21"/>
          <w:lang w:val="en-US" w:eastAsia="zh-CN"/>
        </w:rPr>
        <w:t>成都市武侯区天府大道中段279号成达大厦10楼</w:t>
      </w: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szCs w:val="21"/>
        </w:rPr>
      </w:pPr>
      <w:r>
        <w:rPr>
          <w:rFonts w:hint="eastAsia" w:ascii="宋体" w:hAnsi="宋体"/>
          <w:szCs w:val="21"/>
        </w:rPr>
        <w:t>谈判时间：</w:t>
      </w:r>
      <w:r>
        <w:rPr>
          <w:rFonts w:hint="eastAsia" w:ascii="宋体" w:hAnsi="宋体"/>
          <w:szCs w:val="21"/>
          <w:lang w:val="en-US" w:eastAsia="zh-CN"/>
        </w:rPr>
        <w:t>2022年5月18日</w:t>
      </w: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b/>
          <w:bCs/>
          <w:sz w:val="32"/>
          <w:szCs w:val="32"/>
        </w:rPr>
      </w:pPr>
      <w:r>
        <w:rPr>
          <w:rFonts w:hint="eastAsia" w:ascii="宋体" w:hAnsi="宋体"/>
          <w:szCs w:val="21"/>
        </w:rPr>
        <w:t>采购人：四川能投广元燃气发电有限公司</w:t>
      </w:r>
    </w:p>
    <w:tbl>
      <w:tblPr>
        <w:tblStyle w:val="17"/>
        <w:tblW w:w="0" w:type="auto"/>
        <w:tblInd w:w="16" w:type="dxa"/>
        <w:tblLayout w:type="fixed"/>
        <w:tblCellMar>
          <w:top w:w="0" w:type="dxa"/>
          <w:left w:w="0" w:type="dxa"/>
          <w:bottom w:w="0" w:type="dxa"/>
          <w:right w:w="0" w:type="dxa"/>
        </w:tblCellMar>
      </w:tblPr>
      <w:tblGrid>
        <w:gridCol w:w="6734"/>
        <w:gridCol w:w="2385"/>
        <w:gridCol w:w="2280"/>
        <w:gridCol w:w="1965"/>
        <w:gridCol w:w="1095"/>
      </w:tblGrid>
      <w:tr>
        <w:tblPrEx>
          <w:tblCellMar>
            <w:top w:w="0" w:type="dxa"/>
            <w:left w:w="0" w:type="dxa"/>
            <w:bottom w:w="0" w:type="dxa"/>
            <w:right w:w="0" w:type="dxa"/>
          </w:tblCellMar>
        </w:tblPrEx>
        <w:trPr>
          <w:cantSplit/>
          <w:trHeight w:val="409" w:hRule="atLeast"/>
        </w:trPr>
        <w:tc>
          <w:tcPr>
            <w:tcW w:w="6734" w:type="dxa"/>
            <w:vMerge w:val="restart"/>
            <w:tcBorders>
              <w:top w:val="single" w:color="auto" w:sz="4" w:space="0"/>
              <w:left w:val="single" w:color="auto" w:sz="4" w:space="0"/>
              <w:bottom w:val="single" w:color="000000" w:sz="4" w:space="0"/>
              <w:right w:val="single" w:color="000000"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b/>
                <w:sz w:val="24"/>
                <w:szCs w:val="24"/>
              </w:rPr>
            </w:pPr>
            <w:r>
              <w:rPr>
                <w:rFonts w:hint="eastAsia" w:ascii="宋体" w:hAnsi="宋体"/>
                <w:b/>
                <w:sz w:val="24"/>
                <w:szCs w:val="24"/>
              </w:rPr>
              <w:t>评审内容</w:t>
            </w:r>
          </w:p>
        </w:tc>
        <w:tc>
          <w:tcPr>
            <w:tcW w:w="7725" w:type="dxa"/>
            <w:gridSpan w:val="4"/>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b/>
                <w:sz w:val="24"/>
                <w:szCs w:val="24"/>
              </w:rPr>
            </w:pPr>
            <w:r>
              <w:rPr>
                <w:rFonts w:hint="eastAsia" w:ascii="宋体" w:hAnsi="宋体"/>
                <w:b/>
                <w:sz w:val="24"/>
                <w:szCs w:val="24"/>
              </w:rPr>
              <w:t>响应人</w:t>
            </w:r>
          </w:p>
        </w:tc>
      </w:tr>
      <w:tr>
        <w:tblPrEx>
          <w:tblCellMar>
            <w:top w:w="0" w:type="dxa"/>
            <w:left w:w="0" w:type="dxa"/>
            <w:bottom w:w="0" w:type="dxa"/>
            <w:right w:w="0" w:type="dxa"/>
          </w:tblCellMar>
        </w:tblPrEx>
        <w:trPr>
          <w:cantSplit/>
          <w:trHeight w:val="355" w:hRule="atLeast"/>
        </w:trPr>
        <w:tc>
          <w:tcPr>
            <w:tcW w:w="6734"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sz w:val="24"/>
                <w:szCs w:val="24"/>
              </w:rPr>
            </w:pPr>
          </w:p>
        </w:tc>
        <w:tc>
          <w:tcPr>
            <w:tcW w:w="238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b/>
                <w:sz w:val="24"/>
                <w:szCs w:val="24"/>
              </w:rPr>
            </w:pPr>
            <w:r>
              <w:rPr>
                <w:rFonts w:hint="eastAsia" w:ascii="宋体" w:hAnsi="宋体"/>
                <w:b/>
                <w:sz w:val="24"/>
                <w:szCs w:val="24"/>
              </w:rPr>
              <w:t>响应人1</w:t>
            </w:r>
          </w:p>
        </w:tc>
        <w:tc>
          <w:tcPr>
            <w:tcW w:w="228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b/>
                <w:sz w:val="24"/>
                <w:szCs w:val="24"/>
              </w:rPr>
            </w:pPr>
            <w:r>
              <w:rPr>
                <w:rFonts w:hint="eastAsia" w:ascii="宋体" w:hAnsi="宋体"/>
                <w:b/>
                <w:sz w:val="24"/>
                <w:szCs w:val="24"/>
              </w:rPr>
              <w:t>响应人2</w:t>
            </w:r>
          </w:p>
        </w:tc>
        <w:tc>
          <w:tcPr>
            <w:tcW w:w="196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b/>
                <w:sz w:val="24"/>
                <w:szCs w:val="24"/>
              </w:rPr>
            </w:pPr>
            <w:r>
              <w:rPr>
                <w:rFonts w:hint="eastAsia" w:ascii="宋体" w:hAnsi="宋体"/>
                <w:b/>
                <w:sz w:val="24"/>
                <w:szCs w:val="24"/>
              </w:rPr>
              <w:t>响应人3</w:t>
            </w:r>
          </w:p>
        </w:tc>
        <w:tc>
          <w:tcPr>
            <w:tcW w:w="109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b/>
                <w:sz w:val="24"/>
                <w:szCs w:val="24"/>
              </w:rPr>
            </w:pPr>
            <w:r>
              <w:rPr>
                <w:rFonts w:ascii="宋体" w:hAnsi="宋体"/>
                <w:b/>
                <w:sz w:val="24"/>
                <w:szCs w:val="24"/>
              </w:rPr>
              <w:t>……</w:t>
            </w:r>
          </w:p>
        </w:tc>
      </w:tr>
      <w:tr>
        <w:tblPrEx>
          <w:tblCellMar>
            <w:top w:w="0" w:type="dxa"/>
            <w:left w:w="0" w:type="dxa"/>
            <w:bottom w:w="0" w:type="dxa"/>
            <w:right w:w="0" w:type="dxa"/>
          </w:tblCellMar>
        </w:tblPrEx>
        <w:trPr>
          <w:trHeight w:val="291" w:hRule="atLeast"/>
        </w:trPr>
        <w:tc>
          <w:tcPr>
            <w:tcW w:w="6734"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sz w:val="24"/>
                <w:szCs w:val="24"/>
              </w:rPr>
            </w:pPr>
            <w:r>
              <w:rPr>
                <w:rFonts w:hint="eastAsia" w:ascii="宋体" w:hAnsi="宋体" w:eastAsia="宋体"/>
                <w:sz w:val="24"/>
                <w:szCs w:val="24"/>
                <w:lang w:eastAsia="zh-CN"/>
              </w:rPr>
              <w:t>是否高于最高</w:t>
            </w:r>
            <w:r>
              <w:rPr>
                <w:rFonts w:hint="eastAsia" w:ascii="宋体" w:hAnsi="宋体" w:eastAsia="宋体"/>
                <w:sz w:val="24"/>
                <w:szCs w:val="24"/>
              </w:rPr>
              <w:t>限价</w:t>
            </w:r>
          </w:p>
        </w:tc>
        <w:tc>
          <w:tcPr>
            <w:tcW w:w="238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228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196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109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r>
      <w:tr>
        <w:tblPrEx>
          <w:tblCellMar>
            <w:top w:w="0" w:type="dxa"/>
            <w:left w:w="0" w:type="dxa"/>
            <w:bottom w:w="0" w:type="dxa"/>
            <w:right w:w="0" w:type="dxa"/>
          </w:tblCellMar>
        </w:tblPrEx>
        <w:trPr>
          <w:trHeight w:val="291" w:hRule="atLeast"/>
        </w:trPr>
        <w:tc>
          <w:tcPr>
            <w:tcW w:w="6734"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sz w:val="24"/>
                <w:szCs w:val="24"/>
              </w:rPr>
            </w:pPr>
            <w:r>
              <w:rPr>
                <w:rFonts w:hint="eastAsia" w:ascii="宋体" w:hAnsi="宋体" w:eastAsia="宋体"/>
                <w:sz w:val="24"/>
                <w:szCs w:val="24"/>
                <w:lang w:eastAsia="zh-CN"/>
              </w:rPr>
              <w:t>供货内容是否与竞争性谈判文件“第五章 采购清单”一致。</w:t>
            </w:r>
          </w:p>
        </w:tc>
        <w:tc>
          <w:tcPr>
            <w:tcW w:w="238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228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196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109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r>
      <w:tr>
        <w:tblPrEx>
          <w:tblCellMar>
            <w:top w:w="0" w:type="dxa"/>
            <w:left w:w="0" w:type="dxa"/>
            <w:bottom w:w="0" w:type="dxa"/>
            <w:right w:w="0" w:type="dxa"/>
          </w:tblCellMar>
        </w:tblPrEx>
        <w:trPr>
          <w:trHeight w:val="383" w:hRule="atLeast"/>
        </w:trPr>
        <w:tc>
          <w:tcPr>
            <w:tcW w:w="6734"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sz w:val="24"/>
                <w:szCs w:val="24"/>
                <w:lang w:val="en-US" w:eastAsia="zh-CN"/>
              </w:rPr>
            </w:pPr>
            <w:r>
              <w:rPr>
                <w:rFonts w:hint="eastAsia" w:ascii="宋体" w:hAnsi="宋体"/>
                <w:sz w:val="24"/>
                <w:szCs w:val="24"/>
              </w:rPr>
              <w:t>是否满足竞争性谈判文件提出的</w:t>
            </w:r>
            <w:r>
              <w:rPr>
                <w:rFonts w:hint="eastAsia" w:ascii="宋体" w:hAnsi="宋体"/>
                <w:sz w:val="24"/>
                <w:szCs w:val="24"/>
                <w:lang w:eastAsia="zh-CN"/>
              </w:rPr>
              <w:t>供货时间</w:t>
            </w:r>
          </w:p>
        </w:tc>
        <w:tc>
          <w:tcPr>
            <w:tcW w:w="238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228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196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109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r>
      <w:tr>
        <w:tblPrEx>
          <w:tblCellMar>
            <w:top w:w="0" w:type="dxa"/>
            <w:left w:w="0" w:type="dxa"/>
            <w:bottom w:w="0" w:type="dxa"/>
            <w:right w:w="0" w:type="dxa"/>
          </w:tblCellMar>
        </w:tblPrEx>
        <w:trPr>
          <w:trHeight w:val="454" w:hRule="atLeast"/>
        </w:trPr>
        <w:tc>
          <w:tcPr>
            <w:tcW w:w="6734" w:type="dxa"/>
            <w:tcBorders>
              <w:top w:val="single" w:color="auto" w:sz="4" w:space="0"/>
              <w:left w:val="single" w:color="auto" w:sz="4" w:space="0"/>
              <w:bottom w:val="single" w:color="auto" w:sz="4" w:space="0"/>
              <w:right w:val="single" w:color="000000"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sz w:val="24"/>
                <w:szCs w:val="24"/>
              </w:rPr>
            </w:pPr>
            <w:r>
              <w:rPr>
                <w:rFonts w:hint="eastAsia" w:ascii="宋体" w:hAnsi="宋体"/>
                <w:sz w:val="24"/>
                <w:szCs w:val="24"/>
              </w:rPr>
              <w:t>谈判有效期是否为</w:t>
            </w:r>
            <w:r>
              <w:rPr>
                <w:rFonts w:hint="eastAsia" w:ascii="宋体" w:hAnsi="宋体"/>
                <w:sz w:val="24"/>
                <w:szCs w:val="24"/>
                <w:u w:val="single"/>
                <w:lang w:val="en-US" w:eastAsia="zh-CN"/>
              </w:rPr>
              <w:t>60</w:t>
            </w:r>
            <w:r>
              <w:rPr>
                <w:rFonts w:hint="eastAsia" w:ascii="宋体" w:hAnsi="宋体"/>
                <w:sz w:val="24"/>
                <w:szCs w:val="24"/>
              </w:rPr>
              <w:t>天</w:t>
            </w:r>
          </w:p>
        </w:tc>
        <w:tc>
          <w:tcPr>
            <w:tcW w:w="238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228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196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109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r>
      <w:tr>
        <w:tblPrEx>
          <w:tblCellMar>
            <w:top w:w="0" w:type="dxa"/>
            <w:left w:w="0" w:type="dxa"/>
            <w:bottom w:w="0" w:type="dxa"/>
            <w:right w:w="0" w:type="dxa"/>
          </w:tblCellMar>
        </w:tblPrEx>
        <w:trPr>
          <w:trHeight w:val="454" w:hRule="atLeast"/>
        </w:trPr>
        <w:tc>
          <w:tcPr>
            <w:tcW w:w="6734" w:type="dxa"/>
            <w:tcBorders>
              <w:top w:val="single" w:color="auto" w:sz="4" w:space="0"/>
              <w:left w:val="single" w:color="auto" w:sz="4" w:space="0"/>
              <w:bottom w:val="single" w:color="auto" w:sz="4" w:space="0"/>
              <w:right w:val="single" w:color="000000"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宋体" w:hAnsi="宋体"/>
                <w:sz w:val="24"/>
                <w:szCs w:val="24"/>
              </w:rPr>
            </w:pPr>
            <w:r>
              <w:rPr>
                <w:rFonts w:hint="eastAsia" w:ascii="宋体" w:hAnsi="宋体" w:eastAsia="宋体"/>
                <w:sz w:val="24"/>
                <w:szCs w:val="24"/>
              </w:rPr>
              <w:t>产品规格型号</w:t>
            </w:r>
            <w:r>
              <w:rPr>
                <w:rFonts w:hint="eastAsia" w:ascii="宋体" w:hAnsi="宋体"/>
                <w:sz w:val="24"/>
                <w:szCs w:val="24"/>
                <w:lang w:eastAsia="zh-CN"/>
              </w:rPr>
              <w:t>是否符合</w:t>
            </w:r>
            <w:r>
              <w:rPr>
                <w:rFonts w:hint="eastAsia" w:ascii="宋体" w:hAnsi="宋体" w:eastAsia="宋体"/>
                <w:sz w:val="24"/>
                <w:szCs w:val="24"/>
                <w:lang w:eastAsia="zh-CN"/>
              </w:rPr>
              <w:t>竞争性谈判文件</w:t>
            </w:r>
            <w:r>
              <w:rPr>
                <w:rFonts w:hint="eastAsia" w:ascii="宋体" w:hAnsi="宋体" w:eastAsia="宋体"/>
                <w:sz w:val="24"/>
                <w:szCs w:val="24"/>
              </w:rPr>
              <w:t>第五章“</w:t>
            </w:r>
            <w:r>
              <w:rPr>
                <w:rFonts w:hint="eastAsia" w:ascii="宋体" w:hAnsi="宋体" w:eastAsia="宋体"/>
                <w:sz w:val="24"/>
                <w:szCs w:val="24"/>
                <w:lang w:eastAsia="zh-CN"/>
              </w:rPr>
              <w:t>采购</w:t>
            </w:r>
            <w:r>
              <w:rPr>
                <w:rFonts w:hint="eastAsia" w:ascii="宋体" w:hAnsi="宋体" w:eastAsia="宋体"/>
                <w:sz w:val="24"/>
                <w:szCs w:val="24"/>
              </w:rPr>
              <w:t>清单”要求</w:t>
            </w:r>
          </w:p>
        </w:tc>
        <w:tc>
          <w:tcPr>
            <w:tcW w:w="2385"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top"/>
          </w:tcPr>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ascii="宋体" w:hAnsi="宋体"/>
                <w:sz w:val="24"/>
                <w:szCs w:val="24"/>
              </w:rPr>
            </w:pPr>
          </w:p>
        </w:tc>
        <w:tc>
          <w:tcPr>
            <w:tcW w:w="2280"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1965"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1095"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r>
      <w:tr>
        <w:tblPrEx>
          <w:tblCellMar>
            <w:top w:w="0" w:type="dxa"/>
            <w:left w:w="0" w:type="dxa"/>
            <w:bottom w:w="0" w:type="dxa"/>
            <w:right w:w="0" w:type="dxa"/>
          </w:tblCellMar>
        </w:tblPrEx>
        <w:trPr>
          <w:trHeight w:val="401" w:hRule="atLeast"/>
        </w:trPr>
        <w:tc>
          <w:tcPr>
            <w:tcW w:w="6734" w:type="dxa"/>
            <w:tcBorders>
              <w:top w:val="single" w:color="auto" w:sz="4" w:space="0"/>
              <w:left w:val="single" w:color="auto" w:sz="4" w:space="0"/>
              <w:bottom w:val="single" w:color="auto" w:sz="4" w:space="0"/>
              <w:right w:val="single" w:color="000000"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sz w:val="24"/>
                <w:szCs w:val="24"/>
              </w:rPr>
            </w:pPr>
            <w:r>
              <w:rPr>
                <w:rFonts w:hint="eastAsia" w:ascii="宋体" w:hAnsi="宋体"/>
                <w:sz w:val="24"/>
                <w:szCs w:val="24"/>
              </w:rPr>
              <w:t>结    论</w:t>
            </w:r>
          </w:p>
        </w:tc>
        <w:tc>
          <w:tcPr>
            <w:tcW w:w="238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2280"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196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c>
          <w:tcPr>
            <w:tcW w:w="1095" w:type="dxa"/>
            <w:tcBorders>
              <w:top w:val="nil"/>
              <w:left w:val="nil"/>
              <w:bottom w:val="single" w:color="auto" w:sz="4" w:space="0"/>
              <w:right w:val="single" w:color="auto" w:sz="4"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color w:val="000000"/>
          <w:sz w:val="18"/>
          <w:szCs w:val="18"/>
        </w:rPr>
      </w:pPr>
      <w:r>
        <w:rPr>
          <w:rFonts w:hint="eastAsia" w:ascii="宋体" w:hAnsi="宋体"/>
          <w:color w:val="000000"/>
          <w:sz w:val="18"/>
          <w:szCs w:val="18"/>
        </w:rPr>
        <w:t>注：1、响应人分栏中填写“√”表示该项符合竞争性谈判文件要求，“×”表示该项不符合竞争性谈判文件要求；</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color w:val="000000"/>
          <w:sz w:val="18"/>
          <w:szCs w:val="18"/>
        </w:rPr>
      </w:pPr>
      <w:r>
        <w:rPr>
          <w:rFonts w:hint="eastAsia" w:ascii="宋体" w:hAnsi="宋体"/>
          <w:color w:val="000000"/>
          <w:sz w:val="18"/>
          <w:szCs w:val="18"/>
        </w:rPr>
        <w:t>2、结论栏中填写“通过”表示该响应人响应文件符合竞争性谈判文件要求，“不通过”表示该响应人响应文件不符合竞争性谈判文件要求；</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color w:val="000000"/>
          <w:szCs w:val="21"/>
        </w:rPr>
      </w:pPr>
      <w:r>
        <w:rPr>
          <w:rFonts w:hint="eastAsia" w:ascii="宋体" w:hAnsi="宋体"/>
          <w:color w:val="000000"/>
          <w:sz w:val="18"/>
          <w:szCs w:val="18"/>
        </w:rPr>
        <w:t>3、汇总结论按少数服从多数原则确定。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宋体" w:hAnsi="宋体"/>
          <w:b/>
          <w:bCs/>
          <w:sz w:val="32"/>
          <w:szCs w:val="32"/>
          <w:lang w:eastAsia="zh-CN"/>
        </w:rPr>
      </w:pPr>
      <w:r>
        <w:rPr>
          <w:rFonts w:hint="eastAsia" w:ascii="宋体" w:hAnsi="宋体"/>
          <w:color w:val="000000"/>
          <w:sz w:val="24"/>
          <w:szCs w:val="24"/>
        </w:rPr>
        <w:t>谈判小组全体成员签字</w:t>
      </w:r>
      <w:r>
        <w:rPr>
          <w:rFonts w:hint="eastAsia" w:ascii="宋体" w:hAnsi="宋体"/>
          <w:b/>
          <w:spacing w:val="46"/>
          <w:sz w:val="24"/>
          <w:szCs w:val="24"/>
        </w:rPr>
        <w:t>：</w:t>
      </w:r>
      <w:r>
        <w:rPr>
          <w:rFonts w:hint="eastAsia" w:ascii="宋体" w:hAnsi="宋体"/>
          <w:b/>
          <w:spacing w:val="46"/>
          <w:sz w:val="24"/>
          <w:szCs w:val="24"/>
          <w:u w:val="single"/>
        </w:rPr>
        <w:t xml:space="preserve">         </w:t>
      </w:r>
      <w:r>
        <w:rPr>
          <w:rFonts w:ascii="宋体" w:hAnsi="宋体"/>
          <w:b/>
          <w:spacing w:val="46"/>
          <w:sz w:val="24"/>
          <w:szCs w:val="24"/>
          <w:u w:val="single"/>
        </w:rPr>
        <w:t xml:space="preserve">                  </w:t>
      </w:r>
      <w:r>
        <w:rPr>
          <w:rFonts w:hint="eastAsia" w:ascii="宋体" w:hAnsi="宋体"/>
          <w:b/>
          <w:spacing w:val="46"/>
          <w:sz w:val="24"/>
          <w:szCs w:val="24"/>
          <w:u w:val="single"/>
        </w:rPr>
        <w:t xml:space="preserve"> </w:t>
      </w:r>
    </w:p>
    <w:p>
      <w:pPr>
        <w:kinsoku/>
        <w:overflowPunct/>
        <w:topLinePunct w:val="0"/>
        <w:bidi w:val="0"/>
        <w:spacing w:line="560" w:lineRule="exact"/>
        <w:jc w:val="center"/>
        <w:rPr>
          <w:rFonts w:hint="eastAsia" w:ascii="宋体" w:hAnsi="宋体"/>
          <w:b/>
          <w:bCs/>
          <w:sz w:val="32"/>
          <w:szCs w:val="32"/>
          <w:lang w:eastAsia="zh-CN"/>
        </w:rPr>
      </w:pPr>
    </w:p>
    <w:p>
      <w:pPr>
        <w:kinsoku/>
        <w:overflowPunct/>
        <w:topLinePunct w:val="0"/>
        <w:bidi w:val="0"/>
        <w:spacing w:line="560" w:lineRule="exact"/>
        <w:jc w:val="center"/>
        <w:rPr>
          <w:rFonts w:hint="eastAsia" w:ascii="宋体" w:hAnsi="宋体"/>
          <w:b/>
          <w:bCs/>
          <w:sz w:val="32"/>
          <w:szCs w:val="32"/>
          <w:lang w:eastAsia="zh-CN"/>
        </w:rPr>
      </w:pPr>
    </w:p>
    <w:p>
      <w:pPr>
        <w:kinsoku/>
        <w:overflowPunct/>
        <w:topLinePunct w:val="0"/>
        <w:bidi w:val="0"/>
        <w:spacing w:line="560" w:lineRule="exact"/>
        <w:jc w:val="center"/>
        <w:rPr>
          <w:rFonts w:ascii="宋体" w:hAnsi="宋体"/>
          <w:b/>
          <w:bCs/>
          <w:sz w:val="32"/>
          <w:szCs w:val="32"/>
        </w:rPr>
      </w:pPr>
      <w:r>
        <w:rPr>
          <w:rFonts w:hint="eastAsia" w:ascii="宋体" w:hAnsi="宋体"/>
          <w:b/>
          <w:bCs/>
          <w:sz w:val="32"/>
          <w:szCs w:val="32"/>
          <w:lang w:eastAsia="zh-CN"/>
        </w:rPr>
        <w:t>九</w:t>
      </w:r>
      <w:r>
        <w:rPr>
          <w:rFonts w:ascii="宋体" w:hAnsi="宋体"/>
          <w:b/>
          <w:bCs/>
          <w:sz w:val="32"/>
          <w:szCs w:val="32"/>
        </w:rPr>
        <w:t>、</w:t>
      </w:r>
      <w:r>
        <w:rPr>
          <w:rFonts w:hint="eastAsia" w:ascii="宋体" w:hAnsi="宋体"/>
          <w:b/>
          <w:bCs/>
          <w:sz w:val="32"/>
          <w:szCs w:val="32"/>
        </w:rPr>
        <w:t>响应人抽签谈判顺序表</w:t>
      </w:r>
    </w:p>
    <w:p>
      <w:pPr>
        <w:kinsoku/>
        <w:overflowPunct/>
        <w:topLinePunct w:val="0"/>
        <w:bidi w:val="0"/>
        <w:spacing w:line="560" w:lineRule="exact"/>
        <w:rPr>
          <w:rFonts w:ascii="宋体" w:hAnsi="宋体"/>
          <w:szCs w:val="21"/>
        </w:rPr>
      </w:pPr>
      <w:r>
        <w:rPr>
          <w:rFonts w:hint="eastAsia" w:ascii="宋体" w:hAnsi="宋体"/>
          <w:szCs w:val="21"/>
        </w:rPr>
        <w:t>项目名称：</w:t>
      </w:r>
      <w:r>
        <w:rPr>
          <w:rFonts w:hint="eastAsia" w:ascii="宋体" w:hAnsi="宋体"/>
          <w:szCs w:val="21"/>
          <w:lang w:val="en-US" w:eastAsia="zh-CN"/>
        </w:rPr>
        <w:t>广元燃机工程建设期生活用房家具采购</w:t>
      </w:r>
    </w:p>
    <w:p>
      <w:pPr>
        <w:kinsoku/>
        <w:overflowPunct/>
        <w:topLinePunct w:val="0"/>
        <w:bidi w:val="0"/>
        <w:spacing w:line="560" w:lineRule="exact"/>
        <w:rPr>
          <w:rFonts w:ascii="宋体" w:hAnsi="宋体"/>
          <w:szCs w:val="21"/>
        </w:rPr>
      </w:pPr>
      <w:r>
        <w:rPr>
          <w:rFonts w:hint="eastAsia" w:ascii="宋体" w:hAnsi="宋体"/>
          <w:szCs w:val="21"/>
        </w:rPr>
        <w:t>谈判地点：</w:t>
      </w:r>
      <w:r>
        <w:rPr>
          <w:rFonts w:hint="eastAsia" w:ascii="宋体" w:hAnsi="宋体"/>
          <w:szCs w:val="21"/>
          <w:lang w:val="en-US" w:eastAsia="zh-CN"/>
        </w:rPr>
        <w:t>成都市武侯区天府大道中段279号成达大厦10楼</w:t>
      </w:r>
      <w:r>
        <w:rPr>
          <w:rFonts w:hint="eastAsia" w:ascii="宋体" w:hAnsi="宋体"/>
          <w:szCs w:val="21"/>
        </w:rPr>
        <w:t xml:space="preserve"> </w:t>
      </w:r>
    </w:p>
    <w:p>
      <w:pPr>
        <w:kinsoku/>
        <w:overflowPunct/>
        <w:topLinePunct w:val="0"/>
        <w:bidi w:val="0"/>
        <w:spacing w:line="560" w:lineRule="exact"/>
        <w:rPr>
          <w:rFonts w:ascii="宋体" w:hAnsi="宋体"/>
          <w:szCs w:val="21"/>
        </w:rPr>
      </w:pPr>
      <w:r>
        <w:rPr>
          <w:rFonts w:hint="eastAsia" w:ascii="宋体" w:hAnsi="宋体"/>
          <w:szCs w:val="21"/>
        </w:rPr>
        <w:t>谈判时间：</w:t>
      </w:r>
      <w:r>
        <w:rPr>
          <w:rFonts w:hint="eastAsia" w:ascii="宋体" w:hAnsi="宋体"/>
          <w:szCs w:val="21"/>
          <w:lang w:val="en-US" w:eastAsia="zh-CN"/>
        </w:rPr>
        <w:t>2022年5月18日</w:t>
      </w:r>
      <w:r>
        <w:rPr>
          <w:rFonts w:hint="eastAsia" w:ascii="宋体" w:hAnsi="宋体"/>
          <w:szCs w:val="21"/>
        </w:rPr>
        <w:t xml:space="preserve">  </w:t>
      </w:r>
    </w:p>
    <w:p>
      <w:pPr>
        <w:kinsoku/>
        <w:overflowPunct/>
        <w:topLinePunct w:val="0"/>
        <w:bidi w:val="0"/>
        <w:spacing w:line="560" w:lineRule="exact"/>
        <w:rPr>
          <w:rFonts w:hint="eastAsia" w:ascii="宋体" w:hAnsi="宋体" w:eastAsia="宋体"/>
          <w:szCs w:val="21"/>
          <w:lang w:val="en-US" w:eastAsia="zh-CN"/>
        </w:rPr>
      </w:pPr>
      <w:r>
        <w:rPr>
          <w:rFonts w:hint="eastAsia" w:ascii="宋体" w:hAnsi="宋体"/>
          <w:szCs w:val="21"/>
        </w:rPr>
        <w:t>采购人：四川能投广元燃气发电有限公</w:t>
      </w:r>
      <w:r>
        <w:rPr>
          <w:rFonts w:hint="eastAsia" w:ascii="宋体" w:hAnsi="宋体"/>
          <w:szCs w:val="21"/>
          <w:lang w:val="en-US" w:eastAsia="zh-CN"/>
        </w:rPr>
        <w:t>司</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500"/>
        <w:gridCol w:w="2615"/>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序号</w:t>
            </w:r>
          </w:p>
        </w:tc>
        <w:tc>
          <w:tcPr>
            <w:tcW w:w="4500"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响应人名称</w:t>
            </w:r>
          </w:p>
        </w:tc>
        <w:tc>
          <w:tcPr>
            <w:tcW w:w="2615"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抽签顺序</w:t>
            </w:r>
          </w:p>
        </w:tc>
        <w:tc>
          <w:tcPr>
            <w:tcW w:w="226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签字</w:t>
            </w:r>
          </w:p>
        </w:tc>
        <w:tc>
          <w:tcPr>
            <w:tcW w:w="2551"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1</w:t>
            </w:r>
          </w:p>
        </w:tc>
        <w:tc>
          <w:tcPr>
            <w:tcW w:w="4500" w:type="dxa"/>
            <w:noWrap w:val="0"/>
            <w:vAlign w:val="center"/>
          </w:tcPr>
          <w:p>
            <w:pPr>
              <w:kinsoku/>
              <w:overflowPunct/>
              <w:topLinePunct w:val="0"/>
              <w:bidi w:val="0"/>
              <w:spacing w:line="560" w:lineRule="exact"/>
              <w:rPr>
                <w:rFonts w:ascii="宋体" w:hAnsi="宋体"/>
                <w:szCs w:val="24"/>
              </w:rPr>
            </w:pPr>
          </w:p>
        </w:tc>
        <w:tc>
          <w:tcPr>
            <w:tcW w:w="2615" w:type="dxa"/>
            <w:noWrap w:val="0"/>
            <w:vAlign w:val="center"/>
          </w:tcPr>
          <w:p>
            <w:pPr>
              <w:kinsoku/>
              <w:overflowPunct/>
              <w:topLinePunct w:val="0"/>
              <w:bidi w:val="0"/>
              <w:spacing w:line="560" w:lineRule="exact"/>
              <w:jc w:val="center"/>
              <w:rPr>
                <w:rFonts w:ascii="宋体" w:hAnsi="宋体"/>
                <w:szCs w:val="21"/>
              </w:rPr>
            </w:pPr>
          </w:p>
        </w:tc>
        <w:tc>
          <w:tcPr>
            <w:tcW w:w="2268" w:type="dxa"/>
            <w:noWrap w:val="0"/>
            <w:vAlign w:val="center"/>
          </w:tcPr>
          <w:p>
            <w:pPr>
              <w:kinsoku/>
              <w:overflowPunct/>
              <w:topLinePunct w:val="0"/>
              <w:bidi w:val="0"/>
              <w:spacing w:line="560" w:lineRule="exact"/>
              <w:jc w:val="center"/>
              <w:rPr>
                <w:rFonts w:ascii="宋体" w:hAnsi="宋体"/>
                <w:szCs w:val="21"/>
              </w:rPr>
            </w:pPr>
          </w:p>
        </w:tc>
        <w:tc>
          <w:tcPr>
            <w:tcW w:w="255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2</w:t>
            </w:r>
          </w:p>
        </w:tc>
        <w:tc>
          <w:tcPr>
            <w:tcW w:w="4500" w:type="dxa"/>
            <w:noWrap w:val="0"/>
            <w:vAlign w:val="center"/>
          </w:tcPr>
          <w:p>
            <w:pPr>
              <w:kinsoku/>
              <w:overflowPunct/>
              <w:topLinePunct w:val="0"/>
              <w:bidi w:val="0"/>
              <w:spacing w:line="560" w:lineRule="exact"/>
              <w:rPr>
                <w:rFonts w:ascii="宋体" w:hAnsi="宋体"/>
                <w:szCs w:val="24"/>
              </w:rPr>
            </w:pPr>
          </w:p>
        </w:tc>
        <w:tc>
          <w:tcPr>
            <w:tcW w:w="2615" w:type="dxa"/>
            <w:noWrap w:val="0"/>
            <w:vAlign w:val="center"/>
          </w:tcPr>
          <w:p>
            <w:pPr>
              <w:kinsoku/>
              <w:overflowPunct/>
              <w:topLinePunct w:val="0"/>
              <w:bidi w:val="0"/>
              <w:spacing w:line="560" w:lineRule="exact"/>
              <w:jc w:val="center"/>
              <w:rPr>
                <w:rFonts w:ascii="宋体" w:hAnsi="宋体"/>
                <w:szCs w:val="21"/>
              </w:rPr>
            </w:pPr>
          </w:p>
        </w:tc>
        <w:tc>
          <w:tcPr>
            <w:tcW w:w="2268" w:type="dxa"/>
            <w:noWrap w:val="0"/>
            <w:vAlign w:val="center"/>
          </w:tcPr>
          <w:p>
            <w:pPr>
              <w:kinsoku/>
              <w:overflowPunct/>
              <w:topLinePunct w:val="0"/>
              <w:bidi w:val="0"/>
              <w:spacing w:line="560" w:lineRule="exact"/>
              <w:jc w:val="center"/>
              <w:rPr>
                <w:rFonts w:ascii="宋体" w:hAnsi="宋体"/>
                <w:szCs w:val="21"/>
              </w:rPr>
            </w:pPr>
          </w:p>
        </w:tc>
        <w:tc>
          <w:tcPr>
            <w:tcW w:w="255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3</w:t>
            </w:r>
          </w:p>
        </w:tc>
        <w:tc>
          <w:tcPr>
            <w:tcW w:w="4500" w:type="dxa"/>
            <w:noWrap w:val="0"/>
            <w:vAlign w:val="center"/>
          </w:tcPr>
          <w:p>
            <w:pPr>
              <w:kinsoku/>
              <w:overflowPunct/>
              <w:topLinePunct w:val="0"/>
              <w:bidi w:val="0"/>
              <w:spacing w:line="560" w:lineRule="exact"/>
              <w:rPr>
                <w:rFonts w:ascii="宋体" w:hAnsi="宋体"/>
                <w:szCs w:val="24"/>
              </w:rPr>
            </w:pPr>
          </w:p>
        </w:tc>
        <w:tc>
          <w:tcPr>
            <w:tcW w:w="2615" w:type="dxa"/>
            <w:noWrap w:val="0"/>
            <w:vAlign w:val="center"/>
          </w:tcPr>
          <w:p>
            <w:pPr>
              <w:kinsoku/>
              <w:overflowPunct/>
              <w:topLinePunct w:val="0"/>
              <w:bidi w:val="0"/>
              <w:spacing w:line="560" w:lineRule="exact"/>
              <w:jc w:val="center"/>
              <w:rPr>
                <w:rFonts w:ascii="宋体" w:hAnsi="宋体"/>
                <w:szCs w:val="21"/>
              </w:rPr>
            </w:pPr>
          </w:p>
        </w:tc>
        <w:tc>
          <w:tcPr>
            <w:tcW w:w="2268" w:type="dxa"/>
            <w:noWrap w:val="0"/>
            <w:vAlign w:val="center"/>
          </w:tcPr>
          <w:p>
            <w:pPr>
              <w:kinsoku/>
              <w:overflowPunct/>
              <w:topLinePunct w:val="0"/>
              <w:bidi w:val="0"/>
              <w:spacing w:line="560" w:lineRule="exact"/>
              <w:jc w:val="center"/>
              <w:rPr>
                <w:rFonts w:ascii="宋体" w:hAnsi="宋体"/>
                <w:szCs w:val="21"/>
              </w:rPr>
            </w:pPr>
          </w:p>
        </w:tc>
        <w:tc>
          <w:tcPr>
            <w:tcW w:w="2551" w:type="dxa"/>
            <w:noWrap w:val="0"/>
            <w:vAlign w:val="center"/>
          </w:tcPr>
          <w:p>
            <w:pPr>
              <w:kinsoku/>
              <w:overflowPunct/>
              <w:topLinePunct w:val="0"/>
              <w:bidi w:val="0"/>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4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4</w:t>
            </w:r>
          </w:p>
        </w:tc>
        <w:tc>
          <w:tcPr>
            <w:tcW w:w="4500" w:type="dxa"/>
            <w:noWrap w:val="0"/>
            <w:vAlign w:val="center"/>
          </w:tcPr>
          <w:p>
            <w:pPr>
              <w:kinsoku/>
              <w:overflowPunct/>
              <w:topLinePunct w:val="0"/>
              <w:bidi w:val="0"/>
              <w:spacing w:line="560" w:lineRule="exact"/>
              <w:rPr>
                <w:rFonts w:ascii="宋体" w:hAnsi="宋体"/>
                <w:szCs w:val="24"/>
              </w:rPr>
            </w:pPr>
          </w:p>
        </w:tc>
        <w:tc>
          <w:tcPr>
            <w:tcW w:w="2615" w:type="dxa"/>
            <w:noWrap w:val="0"/>
            <w:vAlign w:val="center"/>
          </w:tcPr>
          <w:p>
            <w:pPr>
              <w:kinsoku/>
              <w:overflowPunct/>
              <w:topLinePunct w:val="0"/>
              <w:bidi w:val="0"/>
              <w:spacing w:line="560" w:lineRule="exact"/>
              <w:jc w:val="center"/>
              <w:rPr>
                <w:rFonts w:ascii="宋体" w:hAnsi="宋体"/>
                <w:szCs w:val="21"/>
              </w:rPr>
            </w:pPr>
          </w:p>
        </w:tc>
        <w:tc>
          <w:tcPr>
            <w:tcW w:w="2268" w:type="dxa"/>
            <w:noWrap w:val="0"/>
            <w:vAlign w:val="center"/>
          </w:tcPr>
          <w:p>
            <w:pPr>
              <w:kinsoku/>
              <w:overflowPunct/>
              <w:topLinePunct w:val="0"/>
              <w:bidi w:val="0"/>
              <w:spacing w:line="560" w:lineRule="exact"/>
              <w:jc w:val="center"/>
              <w:rPr>
                <w:rFonts w:ascii="宋体" w:hAnsi="宋体"/>
                <w:szCs w:val="21"/>
              </w:rPr>
            </w:pPr>
          </w:p>
        </w:tc>
        <w:tc>
          <w:tcPr>
            <w:tcW w:w="2551" w:type="dxa"/>
            <w:noWrap w:val="0"/>
            <w:vAlign w:val="center"/>
          </w:tcPr>
          <w:p>
            <w:pPr>
              <w:kinsoku/>
              <w:overflowPunct/>
              <w:topLinePunct w:val="0"/>
              <w:bidi w:val="0"/>
              <w:spacing w:line="560" w:lineRule="exact"/>
              <w:jc w:val="center"/>
              <w:rPr>
                <w:rFonts w:ascii="宋体" w:hAnsi="宋体"/>
                <w:szCs w:val="21"/>
              </w:rPr>
            </w:pPr>
          </w:p>
        </w:tc>
      </w:tr>
    </w:tbl>
    <w:p>
      <w:pPr>
        <w:kinsoku/>
        <w:overflowPunct/>
        <w:topLinePunct w:val="0"/>
        <w:bidi w:val="0"/>
        <w:adjustRightInd w:val="0"/>
        <w:snapToGrid w:val="0"/>
        <w:spacing w:line="560" w:lineRule="exact"/>
        <w:jc w:val="left"/>
        <w:rPr>
          <w:rFonts w:ascii="宋体" w:hAnsi="宋体"/>
          <w:sz w:val="26"/>
          <w:szCs w:val="24"/>
        </w:rPr>
      </w:pPr>
    </w:p>
    <w:p>
      <w:pPr>
        <w:kinsoku/>
        <w:overflowPunct/>
        <w:topLinePunct w:val="0"/>
        <w:bidi w:val="0"/>
        <w:adjustRightInd w:val="0"/>
        <w:snapToGrid w:val="0"/>
        <w:spacing w:line="560" w:lineRule="exact"/>
        <w:jc w:val="left"/>
        <w:rPr>
          <w:rFonts w:ascii="宋体" w:hAnsi="宋体"/>
          <w:sz w:val="26"/>
          <w:szCs w:val="24"/>
        </w:rPr>
      </w:pPr>
      <w:r>
        <w:rPr>
          <w:rFonts w:hint="eastAsia" w:ascii="宋体" w:hAnsi="宋体"/>
          <w:sz w:val="26"/>
          <w:szCs w:val="24"/>
        </w:rPr>
        <w:t>采购人签字：</w:t>
      </w:r>
    </w:p>
    <w:p>
      <w:pPr>
        <w:kinsoku/>
        <w:overflowPunct/>
        <w:topLinePunct w:val="0"/>
        <w:bidi w:val="0"/>
        <w:adjustRightInd w:val="0"/>
        <w:snapToGrid w:val="0"/>
        <w:spacing w:line="560" w:lineRule="exact"/>
        <w:jc w:val="left"/>
        <w:rPr>
          <w:rFonts w:ascii="宋体" w:hAnsi="宋体"/>
          <w:sz w:val="26"/>
          <w:szCs w:val="24"/>
        </w:rPr>
      </w:pPr>
    </w:p>
    <w:p>
      <w:pPr>
        <w:kinsoku/>
        <w:overflowPunct/>
        <w:topLinePunct w:val="0"/>
        <w:bidi w:val="0"/>
        <w:adjustRightInd w:val="0"/>
        <w:snapToGrid w:val="0"/>
        <w:spacing w:line="560" w:lineRule="exact"/>
        <w:jc w:val="left"/>
        <w:rPr>
          <w:rFonts w:ascii="宋体" w:hAnsi="宋体"/>
          <w:sz w:val="26"/>
          <w:szCs w:val="24"/>
        </w:rPr>
      </w:pPr>
      <w:r>
        <w:rPr>
          <w:rFonts w:hint="eastAsia" w:ascii="宋体" w:hAnsi="宋体"/>
          <w:sz w:val="26"/>
          <w:szCs w:val="24"/>
        </w:rPr>
        <w:t>监督人签字：</w:t>
      </w:r>
    </w:p>
    <w:p>
      <w:pPr>
        <w:kinsoku/>
        <w:overflowPunct/>
        <w:topLinePunct w:val="0"/>
        <w:bidi w:val="0"/>
        <w:adjustRightInd w:val="0"/>
        <w:snapToGrid w:val="0"/>
        <w:spacing w:line="560" w:lineRule="exact"/>
        <w:jc w:val="center"/>
        <w:rPr>
          <w:rFonts w:ascii="宋体" w:hAnsi="宋体"/>
          <w:sz w:val="26"/>
          <w:szCs w:val="24"/>
        </w:rPr>
        <w:sectPr>
          <w:pgSz w:w="16838" w:h="11906" w:orient="landscape"/>
          <w:pgMar w:top="1797" w:right="1440" w:bottom="1469"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kinsoku/>
        <w:overflowPunct/>
        <w:topLinePunct w:val="0"/>
        <w:bidi w:val="0"/>
        <w:spacing w:line="560" w:lineRule="exact"/>
        <w:jc w:val="center"/>
        <w:outlineLvl w:val="1"/>
        <w:rPr>
          <w:rFonts w:ascii="宋体" w:hAnsi="宋体"/>
          <w:b/>
          <w:bCs/>
          <w:sz w:val="32"/>
          <w:szCs w:val="32"/>
        </w:rPr>
      </w:pPr>
      <w:r>
        <w:rPr>
          <w:rFonts w:hint="eastAsia" w:ascii="宋体" w:hAnsi="宋体"/>
          <w:b/>
          <w:bCs/>
          <w:sz w:val="32"/>
          <w:szCs w:val="32"/>
          <w:lang w:eastAsia="zh-CN"/>
        </w:rPr>
        <w:t>十</w:t>
      </w:r>
      <w:r>
        <w:rPr>
          <w:rFonts w:ascii="宋体" w:hAnsi="宋体"/>
          <w:b/>
          <w:bCs/>
          <w:sz w:val="32"/>
          <w:szCs w:val="32"/>
        </w:rPr>
        <w:t>、</w:t>
      </w:r>
      <w:r>
        <w:rPr>
          <w:rFonts w:hint="eastAsia" w:ascii="宋体" w:hAnsi="宋体"/>
          <w:b/>
          <w:bCs/>
          <w:sz w:val="32"/>
          <w:szCs w:val="32"/>
        </w:rPr>
        <w:t>第二次报价确认表</w:t>
      </w:r>
    </w:p>
    <w:p>
      <w:pPr>
        <w:kinsoku/>
        <w:overflowPunct/>
        <w:topLinePunct w:val="0"/>
        <w:bidi w:val="0"/>
        <w:spacing w:line="560" w:lineRule="exact"/>
        <w:rPr>
          <w:rFonts w:ascii="宋体" w:hAnsi="宋体"/>
          <w:szCs w:val="21"/>
        </w:rPr>
      </w:pPr>
      <w:r>
        <w:rPr>
          <w:rFonts w:hint="eastAsia" w:ascii="宋体" w:hAnsi="宋体"/>
          <w:szCs w:val="21"/>
        </w:rPr>
        <w:t>项目名称：</w:t>
      </w:r>
      <w:r>
        <w:rPr>
          <w:rFonts w:hint="eastAsia" w:ascii="宋体" w:hAnsi="宋体"/>
          <w:szCs w:val="21"/>
          <w:lang w:val="en-US" w:eastAsia="zh-CN"/>
        </w:rPr>
        <w:t>广元燃机工程建设期生活用房家具采购</w:t>
      </w:r>
    </w:p>
    <w:p>
      <w:pPr>
        <w:kinsoku/>
        <w:overflowPunct/>
        <w:topLinePunct w:val="0"/>
        <w:bidi w:val="0"/>
        <w:spacing w:line="560" w:lineRule="exact"/>
        <w:rPr>
          <w:rFonts w:ascii="宋体" w:hAnsi="宋体"/>
          <w:szCs w:val="21"/>
        </w:rPr>
      </w:pPr>
      <w:r>
        <w:rPr>
          <w:rFonts w:hint="eastAsia" w:ascii="宋体" w:hAnsi="宋体"/>
          <w:szCs w:val="21"/>
        </w:rPr>
        <w:t>谈判地点：</w:t>
      </w:r>
      <w:r>
        <w:rPr>
          <w:rFonts w:hint="eastAsia" w:ascii="宋体" w:hAnsi="宋体"/>
          <w:szCs w:val="21"/>
          <w:lang w:val="en-US" w:eastAsia="zh-CN"/>
        </w:rPr>
        <w:t>成都市武侯区天府大道中段279号成达大厦10楼</w:t>
      </w:r>
      <w:r>
        <w:rPr>
          <w:rFonts w:hint="eastAsia" w:ascii="宋体" w:hAnsi="宋体"/>
          <w:szCs w:val="21"/>
        </w:rPr>
        <w:t xml:space="preserve"> </w:t>
      </w:r>
    </w:p>
    <w:p>
      <w:pPr>
        <w:kinsoku/>
        <w:overflowPunct/>
        <w:topLinePunct w:val="0"/>
        <w:bidi w:val="0"/>
        <w:spacing w:line="560" w:lineRule="exact"/>
        <w:rPr>
          <w:rFonts w:ascii="宋体" w:hAnsi="宋体"/>
          <w:szCs w:val="21"/>
        </w:rPr>
      </w:pPr>
      <w:r>
        <w:rPr>
          <w:rFonts w:hint="eastAsia" w:ascii="宋体" w:hAnsi="宋体"/>
          <w:szCs w:val="21"/>
        </w:rPr>
        <w:t>谈判时间：</w:t>
      </w:r>
      <w:r>
        <w:rPr>
          <w:rFonts w:hint="eastAsia" w:ascii="宋体" w:hAnsi="宋体"/>
          <w:szCs w:val="21"/>
          <w:lang w:val="en-US" w:eastAsia="zh-CN"/>
        </w:rPr>
        <w:t>2022年5月18日</w:t>
      </w:r>
      <w:r>
        <w:rPr>
          <w:rFonts w:hint="eastAsia" w:ascii="宋体" w:hAnsi="宋体"/>
          <w:szCs w:val="21"/>
        </w:rPr>
        <w:t xml:space="preserve">  </w:t>
      </w:r>
    </w:p>
    <w:p>
      <w:pPr>
        <w:kinsoku/>
        <w:overflowPunct/>
        <w:topLinePunct w:val="0"/>
        <w:bidi w:val="0"/>
        <w:spacing w:line="560" w:lineRule="exact"/>
        <w:rPr>
          <w:rFonts w:ascii="宋体" w:hAnsi="宋体"/>
          <w:szCs w:val="21"/>
        </w:rPr>
      </w:pPr>
      <w:r>
        <w:rPr>
          <w:rFonts w:hint="eastAsia" w:ascii="宋体" w:hAnsi="宋体"/>
          <w:szCs w:val="21"/>
        </w:rPr>
        <w:t>采购人：四川能投广元燃气发电有限公司</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2757"/>
        <w:gridCol w:w="24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0"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响应人名称</w:t>
            </w:r>
          </w:p>
        </w:tc>
        <w:tc>
          <w:tcPr>
            <w:tcW w:w="2757"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第二次报价</w:t>
            </w:r>
            <w:r>
              <w:rPr>
                <w:rFonts w:ascii="宋体" w:hAnsi="宋体"/>
                <w:szCs w:val="21"/>
              </w:rPr>
              <w:t>价格</w:t>
            </w:r>
          </w:p>
        </w:tc>
        <w:tc>
          <w:tcPr>
            <w:tcW w:w="2409"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签字</w:t>
            </w:r>
          </w:p>
        </w:tc>
        <w:tc>
          <w:tcPr>
            <w:tcW w:w="2268" w:type="dxa"/>
            <w:noWrap w:val="0"/>
            <w:vAlign w:val="center"/>
          </w:tcPr>
          <w:p>
            <w:pPr>
              <w:kinsoku/>
              <w:overflowPunct/>
              <w:topLinePunct w:val="0"/>
              <w:bidi w:val="0"/>
              <w:spacing w:line="5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4500" w:type="dxa"/>
            <w:noWrap w:val="0"/>
            <w:vAlign w:val="center"/>
          </w:tcPr>
          <w:p>
            <w:pPr>
              <w:kinsoku/>
              <w:overflowPunct/>
              <w:topLinePunct w:val="0"/>
              <w:bidi w:val="0"/>
              <w:spacing w:line="560" w:lineRule="exact"/>
              <w:rPr>
                <w:rFonts w:ascii="宋体" w:hAnsi="宋体"/>
                <w:szCs w:val="24"/>
              </w:rPr>
            </w:pPr>
          </w:p>
        </w:tc>
        <w:tc>
          <w:tcPr>
            <w:tcW w:w="2757" w:type="dxa"/>
            <w:noWrap w:val="0"/>
            <w:vAlign w:val="center"/>
          </w:tcPr>
          <w:p>
            <w:pPr>
              <w:kinsoku/>
              <w:overflowPunct/>
              <w:topLinePunct w:val="0"/>
              <w:bidi w:val="0"/>
              <w:spacing w:line="560" w:lineRule="exact"/>
              <w:jc w:val="center"/>
              <w:rPr>
                <w:rFonts w:ascii="宋体" w:hAnsi="宋体"/>
                <w:szCs w:val="21"/>
              </w:rPr>
            </w:pPr>
          </w:p>
        </w:tc>
        <w:tc>
          <w:tcPr>
            <w:tcW w:w="2409" w:type="dxa"/>
            <w:noWrap w:val="0"/>
            <w:vAlign w:val="center"/>
          </w:tcPr>
          <w:p>
            <w:pPr>
              <w:kinsoku/>
              <w:overflowPunct/>
              <w:topLinePunct w:val="0"/>
              <w:bidi w:val="0"/>
              <w:spacing w:line="560" w:lineRule="exact"/>
              <w:jc w:val="center"/>
              <w:rPr>
                <w:rFonts w:ascii="宋体" w:hAnsi="宋体"/>
                <w:szCs w:val="21"/>
              </w:rPr>
            </w:pPr>
          </w:p>
        </w:tc>
        <w:tc>
          <w:tcPr>
            <w:tcW w:w="2268" w:type="dxa"/>
            <w:noWrap w:val="0"/>
            <w:vAlign w:val="center"/>
          </w:tcPr>
          <w:p>
            <w:pPr>
              <w:kinsoku/>
              <w:overflowPunct/>
              <w:topLinePunct w:val="0"/>
              <w:bidi w:val="0"/>
              <w:spacing w:line="560" w:lineRule="exact"/>
              <w:jc w:val="center"/>
              <w:rPr>
                <w:rFonts w:ascii="宋体" w:hAnsi="宋体"/>
                <w:szCs w:val="21"/>
              </w:rPr>
            </w:pPr>
          </w:p>
        </w:tc>
      </w:tr>
    </w:tbl>
    <w:p>
      <w:pPr>
        <w:kinsoku/>
        <w:overflowPunct/>
        <w:topLinePunct w:val="0"/>
        <w:bidi w:val="0"/>
        <w:adjustRightInd w:val="0"/>
        <w:snapToGrid w:val="0"/>
        <w:spacing w:line="560" w:lineRule="exact"/>
        <w:jc w:val="center"/>
        <w:rPr>
          <w:rFonts w:ascii="宋体" w:hAnsi="宋体"/>
          <w:sz w:val="26"/>
          <w:szCs w:val="24"/>
        </w:rPr>
        <w:sectPr>
          <w:pgSz w:w="16838" w:h="11906" w:orient="landscape"/>
          <w:pgMar w:top="1797" w:right="1440" w:bottom="1469"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kinsoku/>
        <w:overflowPunct/>
        <w:topLinePunct w:val="0"/>
        <w:bidi w:val="0"/>
        <w:spacing w:line="560" w:lineRule="exact"/>
        <w:jc w:val="center"/>
        <w:rPr>
          <w:rFonts w:ascii="宋体" w:hAnsi="宋体"/>
          <w:b/>
          <w:bCs/>
          <w:sz w:val="32"/>
          <w:szCs w:val="32"/>
        </w:rPr>
      </w:pPr>
      <w:r>
        <w:rPr>
          <w:rFonts w:hint="eastAsia" w:ascii="宋体" w:hAnsi="宋体"/>
          <w:b/>
          <w:bCs/>
          <w:sz w:val="32"/>
          <w:szCs w:val="32"/>
          <w:lang w:eastAsia="zh-CN"/>
        </w:rPr>
        <w:t>十一</w:t>
      </w:r>
      <w:r>
        <w:rPr>
          <w:rFonts w:ascii="宋体" w:hAnsi="宋体"/>
          <w:b/>
          <w:bCs/>
          <w:sz w:val="32"/>
          <w:szCs w:val="32"/>
        </w:rPr>
        <w:t>、</w:t>
      </w:r>
      <w:r>
        <w:rPr>
          <w:rFonts w:hint="eastAsia" w:ascii="宋体" w:hAnsi="宋体"/>
          <w:b/>
          <w:bCs/>
          <w:sz w:val="32"/>
          <w:szCs w:val="32"/>
        </w:rPr>
        <w:t>综合评审表（综合得分最高原则</w:t>
      </w:r>
      <w:r>
        <w:rPr>
          <w:rFonts w:ascii="宋体" w:hAnsi="宋体"/>
          <w:b/>
          <w:bCs/>
          <w:sz w:val="32"/>
          <w:szCs w:val="32"/>
        </w:rPr>
        <w:t>）</w:t>
      </w:r>
    </w:p>
    <w:p>
      <w:pPr>
        <w:kinsoku/>
        <w:overflowPunct/>
        <w:topLinePunct w:val="0"/>
        <w:bidi w:val="0"/>
        <w:spacing w:line="560" w:lineRule="exact"/>
        <w:rPr>
          <w:rFonts w:ascii="宋体" w:hAnsi="宋体"/>
          <w:szCs w:val="21"/>
        </w:rPr>
      </w:pPr>
      <w:r>
        <w:rPr>
          <w:rFonts w:hint="eastAsia" w:ascii="宋体" w:hAnsi="宋体"/>
          <w:szCs w:val="21"/>
        </w:rPr>
        <w:t>项目名称：</w:t>
      </w:r>
      <w:r>
        <w:rPr>
          <w:rFonts w:hint="eastAsia" w:ascii="宋体" w:hAnsi="宋体"/>
          <w:szCs w:val="21"/>
          <w:lang w:val="en-US" w:eastAsia="zh-CN"/>
        </w:rPr>
        <w:t>广元燃机工程建设期生活用房家具采购</w:t>
      </w:r>
    </w:p>
    <w:p>
      <w:pPr>
        <w:kinsoku/>
        <w:overflowPunct/>
        <w:topLinePunct w:val="0"/>
        <w:bidi w:val="0"/>
        <w:spacing w:line="560" w:lineRule="exact"/>
        <w:rPr>
          <w:rFonts w:ascii="宋体" w:hAnsi="宋体"/>
          <w:szCs w:val="21"/>
        </w:rPr>
      </w:pPr>
      <w:r>
        <w:rPr>
          <w:rFonts w:hint="eastAsia" w:ascii="宋体" w:hAnsi="宋体"/>
          <w:szCs w:val="21"/>
        </w:rPr>
        <w:t>谈判地点：</w:t>
      </w:r>
      <w:r>
        <w:rPr>
          <w:rFonts w:hint="eastAsia" w:ascii="宋体" w:hAnsi="宋体"/>
          <w:szCs w:val="21"/>
          <w:lang w:val="en-US" w:eastAsia="zh-CN"/>
        </w:rPr>
        <w:t>成都市武侯区天府大道中段279号成达大厦10楼</w:t>
      </w:r>
      <w:r>
        <w:rPr>
          <w:rFonts w:hint="eastAsia" w:ascii="宋体" w:hAnsi="宋体"/>
          <w:szCs w:val="21"/>
        </w:rPr>
        <w:t xml:space="preserve"> </w:t>
      </w:r>
    </w:p>
    <w:p>
      <w:pPr>
        <w:kinsoku/>
        <w:overflowPunct/>
        <w:topLinePunct w:val="0"/>
        <w:bidi w:val="0"/>
        <w:spacing w:line="560" w:lineRule="exact"/>
        <w:rPr>
          <w:rFonts w:ascii="宋体" w:hAnsi="宋体"/>
          <w:szCs w:val="21"/>
        </w:rPr>
      </w:pPr>
      <w:r>
        <w:rPr>
          <w:rFonts w:hint="eastAsia" w:ascii="宋体" w:hAnsi="宋体"/>
          <w:szCs w:val="21"/>
        </w:rPr>
        <w:t>谈判时间：</w:t>
      </w:r>
      <w:r>
        <w:rPr>
          <w:rFonts w:hint="eastAsia" w:ascii="宋体" w:hAnsi="宋体"/>
          <w:szCs w:val="21"/>
          <w:lang w:val="en-US" w:eastAsia="zh-CN"/>
        </w:rPr>
        <w:t>2022年5月18日</w:t>
      </w:r>
      <w:r>
        <w:rPr>
          <w:rFonts w:hint="eastAsia" w:ascii="宋体" w:hAnsi="宋体"/>
          <w:szCs w:val="21"/>
        </w:rPr>
        <w:t xml:space="preserve">  </w:t>
      </w:r>
    </w:p>
    <w:p>
      <w:pPr>
        <w:kinsoku/>
        <w:overflowPunct/>
        <w:topLinePunct w:val="0"/>
        <w:bidi w:val="0"/>
        <w:spacing w:line="560" w:lineRule="exact"/>
        <w:rPr>
          <w:rFonts w:ascii="宋体" w:hAnsi="宋体"/>
          <w:szCs w:val="21"/>
          <w:u w:val="single"/>
        </w:rPr>
      </w:pPr>
      <w:r>
        <w:rPr>
          <w:rFonts w:hint="eastAsia" w:ascii="宋体" w:hAnsi="宋体"/>
          <w:szCs w:val="21"/>
        </w:rPr>
        <w:t>采购人：四川能投广元燃气发电有限公司</w:t>
      </w:r>
    </w:p>
    <w:tbl>
      <w:tblPr>
        <w:tblStyle w:val="17"/>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273"/>
        <w:gridCol w:w="1843"/>
        <w:gridCol w:w="1843"/>
        <w:gridCol w:w="1843"/>
        <w:gridCol w:w="2126"/>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96" w:type="dxa"/>
            <w:vMerge w:val="restart"/>
            <w:noWrap w:val="0"/>
            <w:vAlign w:val="center"/>
          </w:tcPr>
          <w:p>
            <w:pPr>
              <w:kinsoku/>
              <w:overflowPunct/>
              <w:topLinePunct w:val="0"/>
              <w:bidi w:val="0"/>
              <w:spacing w:line="560" w:lineRule="exact"/>
              <w:jc w:val="center"/>
              <w:rPr>
                <w:rFonts w:ascii="宋体" w:hAnsi="宋体"/>
                <w:color w:val="000000"/>
                <w:szCs w:val="21"/>
              </w:rPr>
            </w:pPr>
            <w:r>
              <w:rPr>
                <w:rFonts w:hint="eastAsia" w:ascii="宋体" w:hAnsi="宋体"/>
                <w:color w:val="000000"/>
                <w:szCs w:val="21"/>
              </w:rPr>
              <w:t>序号</w:t>
            </w:r>
          </w:p>
        </w:tc>
        <w:tc>
          <w:tcPr>
            <w:tcW w:w="3273" w:type="dxa"/>
            <w:vMerge w:val="restart"/>
            <w:noWrap w:val="0"/>
            <w:vAlign w:val="center"/>
          </w:tcPr>
          <w:p>
            <w:pPr>
              <w:kinsoku/>
              <w:overflowPunct/>
              <w:topLinePunct w:val="0"/>
              <w:bidi w:val="0"/>
              <w:spacing w:line="560" w:lineRule="exact"/>
              <w:jc w:val="center"/>
              <w:rPr>
                <w:rFonts w:ascii="宋体" w:hAnsi="宋体"/>
                <w:color w:val="000000"/>
                <w:szCs w:val="21"/>
              </w:rPr>
            </w:pPr>
            <w:r>
              <w:rPr>
                <w:rFonts w:hint="eastAsia" w:ascii="宋体" w:hAnsi="宋体"/>
                <w:color w:val="000000"/>
                <w:szCs w:val="21"/>
              </w:rPr>
              <w:t>响应人</w:t>
            </w:r>
          </w:p>
        </w:tc>
        <w:tc>
          <w:tcPr>
            <w:tcW w:w="9214" w:type="dxa"/>
            <w:gridSpan w:val="5"/>
            <w:noWrap w:val="0"/>
            <w:vAlign w:val="center"/>
          </w:tcPr>
          <w:p>
            <w:pPr>
              <w:kinsoku/>
              <w:overflowPunct/>
              <w:topLinePunct w:val="0"/>
              <w:bidi w:val="0"/>
              <w:spacing w:line="560" w:lineRule="exact"/>
              <w:jc w:val="center"/>
              <w:rPr>
                <w:rFonts w:ascii="宋体" w:hAnsi="宋体"/>
                <w:color w:val="000000"/>
                <w:sz w:val="18"/>
                <w:szCs w:val="18"/>
              </w:rPr>
            </w:pPr>
            <w:r>
              <w:rPr>
                <w:rFonts w:hint="eastAsia" w:ascii="宋体" w:hAnsi="宋体"/>
                <w:sz w:val="18"/>
                <w:szCs w:val="18"/>
              </w:rPr>
              <w:t>评审内容（</w:t>
            </w:r>
            <w:r>
              <w:rPr>
                <w:rFonts w:ascii="宋体" w:hAnsi="宋体"/>
                <w:sz w:val="18"/>
                <w:szCs w:val="18"/>
              </w:rPr>
              <w:t>100</w:t>
            </w:r>
            <w:r>
              <w:rPr>
                <w:rFonts w:hint="eastAsia" w:ascii="宋体" w:hAnsi="宋体"/>
                <w:sz w:val="18"/>
                <w:szCs w:val="18"/>
              </w:rPr>
              <w:t>分）</w:t>
            </w:r>
          </w:p>
        </w:tc>
        <w:tc>
          <w:tcPr>
            <w:tcW w:w="1276" w:type="dxa"/>
            <w:noWrap w:val="0"/>
            <w:vAlign w:val="center"/>
          </w:tcPr>
          <w:p>
            <w:pPr>
              <w:kinsoku/>
              <w:overflowPunct/>
              <w:topLinePunct w:val="0"/>
              <w:bidi w:val="0"/>
              <w:spacing w:line="560" w:lineRule="exact"/>
              <w:jc w:val="center"/>
              <w:rPr>
                <w:rFonts w:ascii="宋体" w:hAnsi="宋体"/>
                <w:color w:val="000000"/>
                <w:sz w:val="18"/>
                <w:szCs w:val="18"/>
              </w:rPr>
            </w:pPr>
            <w:r>
              <w:rPr>
                <w:rFonts w:hint="eastAsia" w:ascii="宋体" w:hAnsi="宋体"/>
                <w:color w:val="000000"/>
                <w:sz w:val="18"/>
                <w:szCs w:val="18"/>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96" w:type="dxa"/>
            <w:vMerge w:val="continue"/>
            <w:noWrap w:val="0"/>
            <w:vAlign w:val="top"/>
          </w:tcPr>
          <w:p>
            <w:pPr>
              <w:kinsoku/>
              <w:overflowPunct/>
              <w:topLinePunct w:val="0"/>
              <w:bidi w:val="0"/>
              <w:spacing w:line="560" w:lineRule="exact"/>
              <w:rPr>
                <w:rFonts w:ascii="宋体" w:hAnsi="宋体"/>
                <w:color w:val="000000"/>
                <w:szCs w:val="21"/>
              </w:rPr>
            </w:pPr>
          </w:p>
        </w:tc>
        <w:tc>
          <w:tcPr>
            <w:tcW w:w="3273" w:type="dxa"/>
            <w:vMerge w:val="continue"/>
            <w:noWrap w:val="0"/>
            <w:vAlign w:val="top"/>
          </w:tcPr>
          <w:p>
            <w:pPr>
              <w:kinsoku/>
              <w:overflowPunct/>
              <w:topLinePunct w:val="0"/>
              <w:bidi w:val="0"/>
              <w:spacing w:line="560" w:lineRule="exact"/>
              <w:rPr>
                <w:rFonts w:ascii="宋体" w:hAnsi="宋体"/>
                <w:color w:val="000000"/>
                <w:szCs w:val="21"/>
              </w:rPr>
            </w:pPr>
          </w:p>
        </w:tc>
        <w:tc>
          <w:tcPr>
            <w:tcW w:w="1843" w:type="dxa"/>
            <w:noWrap w:val="0"/>
            <w:vAlign w:val="center"/>
          </w:tcPr>
          <w:p>
            <w:pPr>
              <w:kinsoku/>
              <w:overflowPunct/>
              <w:topLinePunct w:val="0"/>
              <w:bidi w:val="0"/>
              <w:spacing w:line="560" w:lineRule="exact"/>
              <w:jc w:val="center"/>
              <w:rPr>
                <w:rFonts w:ascii="宋体" w:hAnsi="宋体"/>
                <w:sz w:val="18"/>
                <w:szCs w:val="18"/>
              </w:rPr>
            </w:pPr>
          </w:p>
        </w:tc>
        <w:tc>
          <w:tcPr>
            <w:tcW w:w="1843" w:type="dxa"/>
            <w:noWrap w:val="0"/>
            <w:vAlign w:val="center"/>
          </w:tcPr>
          <w:p>
            <w:pPr>
              <w:kinsoku/>
              <w:overflowPunct/>
              <w:topLinePunct w:val="0"/>
              <w:bidi w:val="0"/>
              <w:spacing w:line="560" w:lineRule="exact"/>
              <w:jc w:val="center"/>
              <w:rPr>
                <w:rFonts w:ascii="宋体" w:hAnsi="宋体"/>
                <w:sz w:val="18"/>
                <w:szCs w:val="18"/>
              </w:rPr>
            </w:pPr>
          </w:p>
        </w:tc>
        <w:tc>
          <w:tcPr>
            <w:tcW w:w="1843" w:type="dxa"/>
            <w:noWrap w:val="0"/>
            <w:vAlign w:val="center"/>
          </w:tcPr>
          <w:p>
            <w:pPr>
              <w:kinsoku/>
              <w:overflowPunct/>
              <w:topLinePunct w:val="0"/>
              <w:bidi w:val="0"/>
              <w:spacing w:line="560" w:lineRule="exact"/>
              <w:jc w:val="center"/>
              <w:rPr>
                <w:rFonts w:ascii="宋体" w:hAnsi="宋体"/>
                <w:sz w:val="18"/>
                <w:szCs w:val="18"/>
              </w:rPr>
            </w:pPr>
          </w:p>
        </w:tc>
        <w:tc>
          <w:tcPr>
            <w:tcW w:w="2126" w:type="dxa"/>
            <w:noWrap w:val="0"/>
            <w:vAlign w:val="center"/>
          </w:tcPr>
          <w:p>
            <w:pPr>
              <w:kinsoku/>
              <w:overflowPunct/>
              <w:topLinePunct w:val="0"/>
              <w:bidi w:val="0"/>
              <w:spacing w:line="560" w:lineRule="exact"/>
              <w:jc w:val="center"/>
              <w:rPr>
                <w:rFonts w:ascii="宋体" w:hAnsi="宋体"/>
                <w:sz w:val="18"/>
                <w:szCs w:val="18"/>
              </w:rPr>
            </w:pPr>
          </w:p>
        </w:tc>
        <w:tc>
          <w:tcPr>
            <w:tcW w:w="1559" w:type="dxa"/>
            <w:noWrap w:val="0"/>
            <w:vAlign w:val="center"/>
          </w:tcPr>
          <w:p>
            <w:pPr>
              <w:kinsoku/>
              <w:overflowPunct/>
              <w:topLinePunct w:val="0"/>
              <w:bidi w:val="0"/>
              <w:spacing w:line="560" w:lineRule="exact"/>
              <w:jc w:val="center"/>
              <w:rPr>
                <w:rFonts w:ascii="宋体" w:hAnsi="宋体"/>
                <w:sz w:val="18"/>
                <w:szCs w:val="18"/>
              </w:rPr>
            </w:pPr>
          </w:p>
        </w:tc>
        <w:tc>
          <w:tcPr>
            <w:tcW w:w="1276" w:type="dxa"/>
            <w:noWrap w:val="0"/>
            <w:vAlign w:val="top"/>
          </w:tcPr>
          <w:p>
            <w:pPr>
              <w:kinsoku/>
              <w:overflowPunct/>
              <w:topLinePunct w:val="0"/>
              <w:bidi w:val="0"/>
              <w:spacing w:line="5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6" w:type="dxa"/>
            <w:noWrap w:val="0"/>
            <w:vAlign w:val="top"/>
          </w:tcPr>
          <w:p>
            <w:pPr>
              <w:kinsoku/>
              <w:overflowPunct/>
              <w:topLinePunct w:val="0"/>
              <w:bidi w:val="0"/>
              <w:spacing w:line="560" w:lineRule="exact"/>
              <w:rPr>
                <w:rFonts w:ascii="宋体" w:hAnsi="宋体"/>
                <w:color w:val="000000"/>
                <w:szCs w:val="21"/>
              </w:rPr>
            </w:pPr>
            <w:r>
              <w:rPr>
                <w:rFonts w:hint="eastAsia" w:ascii="宋体" w:hAnsi="宋体"/>
                <w:color w:val="000000"/>
                <w:szCs w:val="21"/>
              </w:rPr>
              <w:t>1</w:t>
            </w:r>
          </w:p>
        </w:tc>
        <w:tc>
          <w:tcPr>
            <w:tcW w:w="327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 w:val="18"/>
                <w:szCs w:val="18"/>
              </w:rPr>
            </w:pPr>
          </w:p>
        </w:tc>
        <w:tc>
          <w:tcPr>
            <w:tcW w:w="1843" w:type="dxa"/>
            <w:noWrap w:val="0"/>
            <w:vAlign w:val="top"/>
          </w:tcPr>
          <w:p>
            <w:pPr>
              <w:kinsoku/>
              <w:overflowPunct/>
              <w:topLinePunct w:val="0"/>
              <w:bidi w:val="0"/>
              <w:spacing w:line="560" w:lineRule="exact"/>
              <w:rPr>
                <w:rFonts w:ascii="宋体" w:hAnsi="宋体"/>
                <w:color w:val="000000"/>
                <w:sz w:val="18"/>
                <w:szCs w:val="18"/>
              </w:rPr>
            </w:pPr>
          </w:p>
        </w:tc>
        <w:tc>
          <w:tcPr>
            <w:tcW w:w="2126" w:type="dxa"/>
            <w:noWrap w:val="0"/>
            <w:vAlign w:val="top"/>
          </w:tcPr>
          <w:p>
            <w:pPr>
              <w:kinsoku/>
              <w:overflowPunct/>
              <w:topLinePunct w:val="0"/>
              <w:bidi w:val="0"/>
              <w:spacing w:line="560" w:lineRule="exact"/>
              <w:rPr>
                <w:rFonts w:ascii="宋体" w:hAnsi="宋体"/>
                <w:color w:val="000000"/>
                <w:sz w:val="18"/>
                <w:szCs w:val="18"/>
              </w:rPr>
            </w:pPr>
          </w:p>
        </w:tc>
        <w:tc>
          <w:tcPr>
            <w:tcW w:w="1559" w:type="dxa"/>
            <w:noWrap w:val="0"/>
            <w:vAlign w:val="top"/>
          </w:tcPr>
          <w:p>
            <w:pPr>
              <w:kinsoku/>
              <w:overflowPunct/>
              <w:topLinePunct w:val="0"/>
              <w:bidi w:val="0"/>
              <w:spacing w:line="560" w:lineRule="exact"/>
              <w:rPr>
                <w:rFonts w:ascii="宋体" w:hAnsi="宋体"/>
                <w:color w:val="000000"/>
                <w:sz w:val="18"/>
                <w:szCs w:val="18"/>
              </w:rPr>
            </w:pPr>
          </w:p>
        </w:tc>
        <w:tc>
          <w:tcPr>
            <w:tcW w:w="1276" w:type="dxa"/>
            <w:noWrap w:val="0"/>
            <w:vAlign w:val="top"/>
          </w:tcPr>
          <w:p>
            <w:pPr>
              <w:kinsoku/>
              <w:overflowPunct/>
              <w:topLinePunct w:val="0"/>
              <w:bidi w:val="0"/>
              <w:spacing w:line="5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6" w:type="dxa"/>
            <w:noWrap w:val="0"/>
            <w:vAlign w:val="top"/>
          </w:tcPr>
          <w:p>
            <w:pPr>
              <w:kinsoku/>
              <w:overflowPunct/>
              <w:topLinePunct w:val="0"/>
              <w:bidi w:val="0"/>
              <w:spacing w:line="560" w:lineRule="exact"/>
              <w:rPr>
                <w:rFonts w:ascii="宋体" w:hAnsi="宋体"/>
                <w:color w:val="000000"/>
                <w:szCs w:val="21"/>
              </w:rPr>
            </w:pPr>
            <w:r>
              <w:rPr>
                <w:rFonts w:hint="eastAsia" w:ascii="宋体" w:hAnsi="宋体"/>
                <w:color w:val="000000"/>
                <w:szCs w:val="21"/>
              </w:rPr>
              <w:t>2</w:t>
            </w:r>
          </w:p>
        </w:tc>
        <w:tc>
          <w:tcPr>
            <w:tcW w:w="327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2126" w:type="dxa"/>
            <w:noWrap w:val="0"/>
            <w:vAlign w:val="top"/>
          </w:tcPr>
          <w:p>
            <w:pPr>
              <w:kinsoku/>
              <w:overflowPunct/>
              <w:topLinePunct w:val="0"/>
              <w:bidi w:val="0"/>
              <w:spacing w:line="560" w:lineRule="exact"/>
              <w:rPr>
                <w:rFonts w:ascii="宋体" w:hAnsi="宋体"/>
                <w:color w:val="000000"/>
                <w:szCs w:val="21"/>
              </w:rPr>
            </w:pPr>
          </w:p>
        </w:tc>
        <w:tc>
          <w:tcPr>
            <w:tcW w:w="1559" w:type="dxa"/>
            <w:noWrap w:val="0"/>
            <w:vAlign w:val="top"/>
          </w:tcPr>
          <w:p>
            <w:pPr>
              <w:kinsoku/>
              <w:overflowPunct/>
              <w:topLinePunct w:val="0"/>
              <w:bidi w:val="0"/>
              <w:spacing w:line="560" w:lineRule="exact"/>
              <w:rPr>
                <w:rFonts w:ascii="宋体" w:hAnsi="宋体"/>
                <w:color w:val="000000"/>
                <w:szCs w:val="21"/>
              </w:rPr>
            </w:pPr>
          </w:p>
        </w:tc>
        <w:tc>
          <w:tcPr>
            <w:tcW w:w="1276" w:type="dxa"/>
            <w:noWrap w:val="0"/>
            <w:vAlign w:val="top"/>
          </w:tcPr>
          <w:p>
            <w:pPr>
              <w:kinsoku/>
              <w:overflowPunct/>
              <w:topLinePunct w:val="0"/>
              <w:bidi w:val="0"/>
              <w:spacing w:line="5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96" w:type="dxa"/>
            <w:noWrap w:val="0"/>
            <w:vAlign w:val="top"/>
          </w:tcPr>
          <w:p>
            <w:pPr>
              <w:kinsoku/>
              <w:overflowPunct/>
              <w:topLinePunct w:val="0"/>
              <w:bidi w:val="0"/>
              <w:spacing w:line="560" w:lineRule="exact"/>
              <w:rPr>
                <w:rFonts w:ascii="宋体" w:hAnsi="宋体"/>
                <w:color w:val="000000"/>
                <w:szCs w:val="21"/>
              </w:rPr>
            </w:pPr>
            <w:r>
              <w:rPr>
                <w:rFonts w:hint="eastAsia" w:ascii="宋体" w:hAnsi="宋体"/>
                <w:color w:val="000000"/>
                <w:szCs w:val="21"/>
              </w:rPr>
              <w:t>3</w:t>
            </w:r>
          </w:p>
        </w:tc>
        <w:tc>
          <w:tcPr>
            <w:tcW w:w="327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2126" w:type="dxa"/>
            <w:noWrap w:val="0"/>
            <w:vAlign w:val="top"/>
          </w:tcPr>
          <w:p>
            <w:pPr>
              <w:kinsoku/>
              <w:overflowPunct/>
              <w:topLinePunct w:val="0"/>
              <w:bidi w:val="0"/>
              <w:spacing w:line="560" w:lineRule="exact"/>
              <w:rPr>
                <w:rFonts w:ascii="宋体" w:hAnsi="宋体"/>
                <w:color w:val="000000"/>
                <w:szCs w:val="21"/>
              </w:rPr>
            </w:pPr>
          </w:p>
        </w:tc>
        <w:tc>
          <w:tcPr>
            <w:tcW w:w="1559" w:type="dxa"/>
            <w:noWrap w:val="0"/>
            <w:vAlign w:val="top"/>
          </w:tcPr>
          <w:p>
            <w:pPr>
              <w:kinsoku/>
              <w:overflowPunct/>
              <w:topLinePunct w:val="0"/>
              <w:bidi w:val="0"/>
              <w:spacing w:line="560" w:lineRule="exact"/>
              <w:rPr>
                <w:rFonts w:ascii="宋体" w:hAnsi="宋体"/>
                <w:color w:val="000000"/>
                <w:szCs w:val="21"/>
              </w:rPr>
            </w:pPr>
          </w:p>
        </w:tc>
        <w:tc>
          <w:tcPr>
            <w:tcW w:w="1276" w:type="dxa"/>
            <w:noWrap w:val="0"/>
            <w:vAlign w:val="top"/>
          </w:tcPr>
          <w:p>
            <w:pPr>
              <w:kinsoku/>
              <w:overflowPunct/>
              <w:topLinePunct w:val="0"/>
              <w:bidi w:val="0"/>
              <w:spacing w:line="5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6" w:type="dxa"/>
            <w:noWrap w:val="0"/>
            <w:vAlign w:val="top"/>
          </w:tcPr>
          <w:p>
            <w:pPr>
              <w:kinsoku/>
              <w:overflowPunct/>
              <w:topLinePunct w:val="0"/>
              <w:bidi w:val="0"/>
              <w:spacing w:line="560" w:lineRule="exact"/>
              <w:rPr>
                <w:rFonts w:ascii="宋体" w:hAnsi="宋体"/>
                <w:color w:val="000000"/>
                <w:szCs w:val="21"/>
              </w:rPr>
            </w:pPr>
            <w:r>
              <w:rPr>
                <w:rFonts w:hint="eastAsia" w:ascii="宋体" w:hAnsi="宋体"/>
                <w:color w:val="000000"/>
                <w:szCs w:val="21"/>
              </w:rPr>
              <w:t>4</w:t>
            </w:r>
          </w:p>
        </w:tc>
        <w:tc>
          <w:tcPr>
            <w:tcW w:w="327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2126" w:type="dxa"/>
            <w:noWrap w:val="0"/>
            <w:vAlign w:val="top"/>
          </w:tcPr>
          <w:p>
            <w:pPr>
              <w:kinsoku/>
              <w:overflowPunct/>
              <w:topLinePunct w:val="0"/>
              <w:bidi w:val="0"/>
              <w:spacing w:line="560" w:lineRule="exact"/>
              <w:rPr>
                <w:rFonts w:ascii="宋体" w:hAnsi="宋体"/>
                <w:color w:val="000000"/>
                <w:szCs w:val="21"/>
              </w:rPr>
            </w:pPr>
          </w:p>
        </w:tc>
        <w:tc>
          <w:tcPr>
            <w:tcW w:w="1559" w:type="dxa"/>
            <w:noWrap w:val="0"/>
            <w:vAlign w:val="top"/>
          </w:tcPr>
          <w:p>
            <w:pPr>
              <w:kinsoku/>
              <w:overflowPunct/>
              <w:topLinePunct w:val="0"/>
              <w:bidi w:val="0"/>
              <w:spacing w:line="560" w:lineRule="exact"/>
              <w:rPr>
                <w:rFonts w:ascii="宋体" w:hAnsi="宋体"/>
                <w:color w:val="000000"/>
                <w:szCs w:val="21"/>
              </w:rPr>
            </w:pPr>
          </w:p>
        </w:tc>
        <w:tc>
          <w:tcPr>
            <w:tcW w:w="1276" w:type="dxa"/>
            <w:noWrap w:val="0"/>
            <w:vAlign w:val="top"/>
          </w:tcPr>
          <w:p>
            <w:pPr>
              <w:kinsoku/>
              <w:overflowPunct/>
              <w:topLinePunct w:val="0"/>
              <w:bidi w:val="0"/>
              <w:spacing w:line="5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6" w:type="dxa"/>
            <w:noWrap w:val="0"/>
            <w:vAlign w:val="top"/>
          </w:tcPr>
          <w:p>
            <w:pPr>
              <w:kinsoku/>
              <w:overflowPunct/>
              <w:topLinePunct w:val="0"/>
              <w:bidi w:val="0"/>
              <w:spacing w:line="560" w:lineRule="exact"/>
              <w:rPr>
                <w:rFonts w:ascii="宋体" w:hAnsi="宋体"/>
                <w:color w:val="000000"/>
                <w:szCs w:val="21"/>
              </w:rPr>
            </w:pPr>
            <w:r>
              <w:rPr>
                <w:rFonts w:hint="eastAsia" w:ascii="宋体" w:hAnsi="宋体"/>
                <w:color w:val="000000"/>
                <w:szCs w:val="21"/>
              </w:rPr>
              <w:t>5</w:t>
            </w:r>
          </w:p>
        </w:tc>
        <w:tc>
          <w:tcPr>
            <w:tcW w:w="327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1843" w:type="dxa"/>
            <w:noWrap w:val="0"/>
            <w:vAlign w:val="top"/>
          </w:tcPr>
          <w:p>
            <w:pPr>
              <w:kinsoku/>
              <w:overflowPunct/>
              <w:topLinePunct w:val="0"/>
              <w:bidi w:val="0"/>
              <w:spacing w:line="560" w:lineRule="exact"/>
              <w:rPr>
                <w:rFonts w:ascii="宋体" w:hAnsi="宋体"/>
                <w:color w:val="000000"/>
                <w:szCs w:val="21"/>
              </w:rPr>
            </w:pPr>
          </w:p>
        </w:tc>
        <w:tc>
          <w:tcPr>
            <w:tcW w:w="2126" w:type="dxa"/>
            <w:noWrap w:val="0"/>
            <w:vAlign w:val="top"/>
          </w:tcPr>
          <w:p>
            <w:pPr>
              <w:kinsoku/>
              <w:overflowPunct/>
              <w:topLinePunct w:val="0"/>
              <w:bidi w:val="0"/>
              <w:spacing w:line="560" w:lineRule="exact"/>
              <w:rPr>
                <w:rFonts w:ascii="宋体" w:hAnsi="宋体"/>
                <w:color w:val="000000"/>
                <w:szCs w:val="21"/>
              </w:rPr>
            </w:pPr>
          </w:p>
        </w:tc>
        <w:tc>
          <w:tcPr>
            <w:tcW w:w="1559" w:type="dxa"/>
            <w:noWrap w:val="0"/>
            <w:vAlign w:val="top"/>
          </w:tcPr>
          <w:p>
            <w:pPr>
              <w:kinsoku/>
              <w:overflowPunct/>
              <w:topLinePunct w:val="0"/>
              <w:bidi w:val="0"/>
              <w:spacing w:line="560" w:lineRule="exact"/>
              <w:rPr>
                <w:rFonts w:ascii="宋体" w:hAnsi="宋体"/>
                <w:color w:val="000000"/>
                <w:szCs w:val="21"/>
              </w:rPr>
            </w:pPr>
          </w:p>
        </w:tc>
        <w:tc>
          <w:tcPr>
            <w:tcW w:w="1276" w:type="dxa"/>
            <w:noWrap w:val="0"/>
            <w:vAlign w:val="top"/>
          </w:tcPr>
          <w:p>
            <w:pPr>
              <w:kinsoku/>
              <w:overflowPunct/>
              <w:topLinePunct w:val="0"/>
              <w:bidi w:val="0"/>
              <w:spacing w:line="560" w:lineRule="exact"/>
              <w:rPr>
                <w:rFonts w:ascii="宋体" w:hAnsi="宋体"/>
                <w:color w:val="000000"/>
                <w:szCs w:val="21"/>
              </w:rPr>
            </w:pPr>
          </w:p>
        </w:tc>
      </w:tr>
    </w:tbl>
    <w:p>
      <w:pPr>
        <w:kinsoku/>
        <w:overflowPunct/>
        <w:topLinePunct w:val="0"/>
        <w:bidi w:val="0"/>
        <w:spacing w:line="560" w:lineRule="exact"/>
        <w:rPr>
          <w:rFonts w:ascii="宋体" w:hAnsi="宋体"/>
          <w:szCs w:val="24"/>
        </w:rPr>
      </w:pPr>
    </w:p>
    <w:p>
      <w:pPr>
        <w:kinsoku/>
        <w:overflowPunct/>
        <w:topLinePunct w:val="0"/>
        <w:bidi w:val="0"/>
        <w:spacing w:line="560" w:lineRule="exact"/>
        <w:rPr>
          <w:rFonts w:ascii="宋体" w:hAnsi="宋体"/>
          <w:b/>
          <w:u w:val="single"/>
        </w:rPr>
      </w:pPr>
      <w:r>
        <w:rPr>
          <w:rFonts w:hint="eastAsia" w:ascii="宋体" w:hAnsi="宋体"/>
          <w:sz w:val="24"/>
          <w:szCs w:val="24"/>
        </w:rPr>
        <w:t>谈判小组成员签字：</w:t>
      </w:r>
      <w:r>
        <w:rPr>
          <w:rFonts w:hint="eastAsia" w:ascii="宋体" w:hAnsi="宋体"/>
          <w:sz w:val="24"/>
          <w:szCs w:val="24"/>
          <w:u w:val="single"/>
        </w:rPr>
        <w:t xml:space="preserve">                                                </w:t>
      </w:r>
    </w:p>
    <w:p>
      <w:pPr>
        <w:rPr>
          <w:rFonts w:hint="eastAsia" w:ascii="宋体" w:hAnsi="宋体"/>
          <w:b/>
          <w:bCs/>
          <w:sz w:val="32"/>
          <w:szCs w:val="32"/>
          <w:lang w:eastAsia="zh-CN"/>
        </w:rPr>
      </w:pPr>
      <w:r>
        <w:rPr>
          <w:rFonts w:hint="eastAsia" w:ascii="宋体" w:hAnsi="宋体"/>
          <w:b/>
          <w:bCs/>
          <w:sz w:val="32"/>
          <w:szCs w:val="32"/>
          <w:lang w:eastAsia="zh-CN"/>
        </w:rPr>
        <w:br w:type="page"/>
      </w:r>
    </w:p>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b/>
          <w:bCs/>
          <w:sz w:val="32"/>
          <w:szCs w:val="32"/>
        </w:rPr>
      </w:pPr>
      <w:r>
        <w:rPr>
          <w:rFonts w:hint="eastAsia" w:ascii="宋体" w:hAnsi="宋体"/>
          <w:b/>
          <w:bCs/>
          <w:sz w:val="32"/>
          <w:szCs w:val="32"/>
          <w:lang w:eastAsia="zh-CN"/>
        </w:rPr>
        <w:t>十二</w:t>
      </w:r>
      <w:r>
        <w:rPr>
          <w:rFonts w:ascii="宋体" w:hAnsi="宋体"/>
          <w:b/>
          <w:bCs/>
          <w:sz w:val="32"/>
          <w:szCs w:val="32"/>
        </w:rPr>
        <w:t>、</w:t>
      </w:r>
      <w:r>
        <w:rPr>
          <w:rFonts w:hint="eastAsia" w:ascii="宋体" w:hAnsi="宋体"/>
          <w:b/>
          <w:bCs/>
          <w:sz w:val="32"/>
          <w:szCs w:val="32"/>
        </w:rPr>
        <w:t>综合评审最终得分汇总表（综合得分最高原则）</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ascii="宋体" w:hAnsi="宋体"/>
          <w:szCs w:val="21"/>
        </w:rPr>
      </w:pPr>
      <w:r>
        <w:rPr>
          <w:rFonts w:hint="eastAsia" w:ascii="宋体" w:hAnsi="宋体"/>
          <w:szCs w:val="21"/>
        </w:rPr>
        <w:t>项目名称：</w:t>
      </w:r>
      <w:r>
        <w:rPr>
          <w:rFonts w:hint="eastAsia" w:ascii="宋体" w:hAnsi="宋体"/>
          <w:szCs w:val="21"/>
          <w:lang w:val="en-US" w:eastAsia="zh-CN"/>
        </w:rPr>
        <w:t>广元燃机工程建设期生活用房家具采购</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ascii="宋体" w:hAnsi="宋体"/>
          <w:szCs w:val="21"/>
        </w:rPr>
      </w:pPr>
      <w:r>
        <w:rPr>
          <w:rFonts w:hint="eastAsia" w:ascii="宋体" w:hAnsi="宋体"/>
          <w:szCs w:val="21"/>
        </w:rPr>
        <w:t>谈判地点：</w:t>
      </w:r>
      <w:r>
        <w:rPr>
          <w:rFonts w:hint="eastAsia" w:ascii="宋体" w:hAnsi="宋体"/>
          <w:szCs w:val="21"/>
          <w:lang w:val="en-US" w:eastAsia="zh-CN"/>
        </w:rPr>
        <w:t>成都市武侯区天府大道中段279号成达大厦10楼</w:t>
      </w: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ascii="宋体" w:hAnsi="宋体"/>
          <w:szCs w:val="21"/>
        </w:rPr>
      </w:pPr>
      <w:r>
        <w:rPr>
          <w:rFonts w:hint="eastAsia" w:ascii="宋体" w:hAnsi="宋体"/>
          <w:szCs w:val="21"/>
        </w:rPr>
        <w:t>谈判时间：</w:t>
      </w:r>
      <w:r>
        <w:rPr>
          <w:rFonts w:hint="eastAsia" w:ascii="宋体" w:hAnsi="宋体"/>
          <w:szCs w:val="21"/>
          <w:lang w:val="en-US" w:eastAsia="zh-CN"/>
        </w:rPr>
        <w:t>2022年5月18日</w:t>
      </w: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ascii="宋体" w:hAnsi="宋体"/>
          <w:szCs w:val="21"/>
        </w:rPr>
      </w:pPr>
      <w:r>
        <w:rPr>
          <w:rFonts w:hint="eastAsia" w:ascii="宋体" w:hAnsi="宋体"/>
          <w:szCs w:val="21"/>
        </w:rPr>
        <w:t>采购人：四川能投广元燃气发电有限公司</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429"/>
        <w:gridCol w:w="1560"/>
        <w:gridCol w:w="1701"/>
        <w:gridCol w:w="1701"/>
        <w:gridCol w:w="1559"/>
        <w:gridCol w:w="1559"/>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ascii="宋体" w:hAnsi="宋体"/>
                <w:szCs w:val="21"/>
              </w:rPr>
            </w:pPr>
            <w:r>
              <w:rPr>
                <w:rFonts w:hint="eastAsia" w:ascii="宋体" w:hAnsi="宋体"/>
                <w:szCs w:val="21"/>
              </w:rPr>
              <w:t>序号</w:t>
            </w:r>
          </w:p>
        </w:tc>
        <w:tc>
          <w:tcPr>
            <w:tcW w:w="3429"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ascii="宋体" w:hAnsi="宋体"/>
                <w:szCs w:val="21"/>
              </w:rPr>
            </w:pPr>
            <w:r>
              <w:rPr>
                <w:rFonts w:hint="eastAsia" w:ascii="宋体" w:hAnsi="宋体"/>
                <w:szCs w:val="21"/>
              </w:rPr>
              <w:t>响应人</w:t>
            </w:r>
          </w:p>
        </w:tc>
        <w:tc>
          <w:tcPr>
            <w:tcW w:w="1560"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r>
              <w:rPr>
                <w:rFonts w:ascii="宋体" w:hAnsi="宋体" w:cs="Courier New"/>
                <w:spacing w:val="-10"/>
                <w:szCs w:val="21"/>
              </w:rPr>
              <w:t>专家一</w:t>
            </w:r>
          </w:p>
        </w:tc>
        <w:tc>
          <w:tcPr>
            <w:tcW w:w="1701"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r>
              <w:rPr>
                <w:rFonts w:ascii="宋体" w:hAnsi="宋体" w:cs="Courier New"/>
                <w:spacing w:val="-10"/>
                <w:szCs w:val="21"/>
              </w:rPr>
              <w:t>专家二</w:t>
            </w:r>
          </w:p>
        </w:tc>
        <w:tc>
          <w:tcPr>
            <w:tcW w:w="1701"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r>
              <w:rPr>
                <w:rFonts w:ascii="宋体" w:hAnsi="宋体" w:cs="Courier New"/>
                <w:spacing w:val="-10"/>
                <w:szCs w:val="21"/>
              </w:rPr>
              <w:t>专家三</w:t>
            </w:r>
          </w:p>
        </w:tc>
        <w:tc>
          <w:tcPr>
            <w:tcW w:w="1559" w:type="dxa"/>
            <w:noWrap w:val="0"/>
            <w:vAlign w:val="top"/>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r>
              <w:rPr>
                <w:rFonts w:ascii="宋体" w:hAnsi="宋体" w:cs="Courier New"/>
                <w:spacing w:val="-10"/>
                <w:szCs w:val="21"/>
              </w:rPr>
              <w:t>……</w:t>
            </w:r>
          </w:p>
        </w:tc>
        <w:tc>
          <w:tcPr>
            <w:tcW w:w="1559"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r>
              <w:rPr>
                <w:rFonts w:ascii="宋体" w:hAnsi="宋体" w:cs="Courier New"/>
                <w:spacing w:val="-10"/>
                <w:szCs w:val="21"/>
              </w:rPr>
              <w:t>平均得分</w:t>
            </w:r>
          </w:p>
        </w:tc>
        <w:tc>
          <w:tcPr>
            <w:tcW w:w="1844"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r>
              <w:rPr>
                <w:rFonts w:ascii="宋体" w:hAnsi="宋体" w:cs="Courier New"/>
                <w:spacing w:val="-10"/>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ascii="宋体" w:hAnsi="宋体"/>
                <w:szCs w:val="21"/>
              </w:rPr>
            </w:pPr>
          </w:p>
        </w:tc>
        <w:tc>
          <w:tcPr>
            <w:tcW w:w="3429"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701"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701"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559" w:type="dxa"/>
            <w:noWrap w:val="0"/>
            <w:vAlign w:val="top"/>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559"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844"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ascii="宋体" w:hAnsi="宋体"/>
                <w:szCs w:val="21"/>
              </w:rPr>
            </w:pPr>
          </w:p>
        </w:tc>
        <w:tc>
          <w:tcPr>
            <w:tcW w:w="3429"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701"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701"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559" w:type="dxa"/>
            <w:noWrap w:val="0"/>
            <w:vAlign w:val="top"/>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559"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844"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ascii="宋体" w:hAnsi="宋体"/>
                <w:szCs w:val="21"/>
              </w:rPr>
            </w:pPr>
          </w:p>
        </w:tc>
        <w:tc>
          <w:tcPr>
            <w:tcW w:w="3429"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701"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701"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559" w:type="dxa"/>
            <w:noWrap w:val="0"/>
            <w:vAlign w:val="top"/>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559"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844"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ascii="宋体" w:hAnsi="宋体"/>
                <w:szCs w:val="21"/>
              </w:rPr>
            </w:pPr>
          </w:p>
        </w:tc>
        <w:tc>
          <w:tcPr>
            <w:tcW w:w="3429"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701"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701"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559" w:type="dxa"/>
            <w:noWrap w:val="0"/>
            <w:vAlign w:val="top"/>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559"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c>
          <w:tcPr>
            <w:tcW w:w="1844" w:type="dxa"/>
            <w:noWrap w:val="0"/>
            <w:vAlign w:val="center"/>
          </w:tcPr>
          <w:p>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ascii="宋体" w:hAnsi="宋体" w:cs="Courier New"/>
                <w:spacing w:val="-10"/>
                <w:szCs w:val="21"/>
              </w:rPr>
            </w:pPr>
          </w:p>
        </w:tc>
      </w:tr>
    </w:tbl>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ascii="宋体" w:hAnsi="宋体"/>
          <w:b/>
          <w:spacing w:val="46"/>
          <w:kern w:val="0"/>
          <w:sz w:val="18"/>
          <w:szCs w:val="18"/>
          <w:u w:val="single"/>
        </w:rPr>
      </w:pP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eastAsia" w:ascii="宋体" w:hAnsi="宋体"/>
          <w:b/>
          <w:spacing w:val="46"/>
          <w:kern w:val="0"/>
          <w:sz w:val="18"/>
          <w:szCs w:val="18"/>
          <w:u w:val="single"/>
        </w:rPr>
      </w:pP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ascii="宋体" w:hAnsi="宋体"/>
          <w:sz w:val="24"/>
          <w:szCs w:val="24"/>
          <w:u w:val="single"/>
        </w:rPr>
        <w:sectPr>
          <w:pgSz w:w="16838" w:h="11906" w:orient="landscape"/>
          <w:pgMar w:top="1797" w:right="1440" w:bottom="1469"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sz w:val="24"/>
          <w:szCs w:val="24"/>
        </w:rPr>
        <w:t>谈判小组全体成员签字：</w:t>
      </w:r>
      <w:r>
        <w:rPr>
          <w:rFonts w:hint="eastAsia" w:ascii="宋体" w:hAnsi="宋体"/>
          <w:sz w:val="24"/>
          <w:szCs w:val="24"/>
          <w:u w:val="single"/>
        </w:rPr>
        <w:t xml:space="preserve">                                              </w:t>
      </w:r>
    </w:p>
    <w:p>
      <w:pPr>
        <w:kinsoku/>
        <w:overflowPunct/>
        <w:topLinePunct w:val="0"/>
        <w:bidi w:val="0"/>
        <w:spacing w:line="560" w:lineRule="exact"/>
        <w:jc w:val="center"/>
        <w:rPr>
          <w:rFonts w:ascii="宋体" w:hAnsi="宋体"/>
          <w:sz w:val="36"/>
          <w:szCs w:val="36"/>
        </w:rPr>
      </w:pPr>
      <w:r>
        <w:rPr>
          <w:rFonts w:hint="eastAsia" w:ascii="宋体" w:hAnsi="宋体"/>
          <w:color w:val="000000"/>
          <w:sz w:val="36"/>
          <w:szCs w:val="36"/>
          <w:u w:val="single"/>
        </w:rPr>
        <w:t xml:space="preserve"> </w:t>
      </w:r>
      <w:r>
        <w:rPr>
          <w:rFonts w:hint="eastAsia" w:ascii="宋体" w:hAnsi="宋体"/>
          <w:color w:val="000000"/>
          <w:sz w:val="36"/>
          <w:szCs w:val="36"/>
          <w:u w:val="single"/>
          <w:lang w:val="en-US" w:eastAsia="zh-CN"/>
        </w:rPr>
        <w:t>广元燃机工程建设期生活用房家具采购</w:t>
      </w:r>
      <w:r>
        <w:rPr>
          <w:rFonts w:hint="eastAsia" w:ascii="宋体" w:hAnsi="宋体" w:cs="宋体"/>
          <w:sz w:val="36"/>
          <w:szCs w:val="36"/>
        </w:rPr>
        <w:t>项目</w:t>
      </w:r>
    </w:p>
    <w:p>
      <w:pPr>
        <w:kinsoku/>
        <w:overflowPunct/>
        <w:topLinePunct w:val="0"/>
        <w:bidi w:val="0"/>
        <w:spacing w:line="560" w:lineRule="exact"/>
        <w:jc w:val="center"/>
        <w:rPr>
          <w:rFonts w:ascii="宋体" w:hAnsi="宋体"/>
          <w:sz w:val="10"/>
          <w:szCs w:val="10"/>
        </w:rPr>
      </w:pPr>
      <w:r>
        <w:rPr>
          <w:rFonts w:hint="eastAsia" w:ascii="宋体" w:hAnsi="宋体"/>
          <w:sz w:val="36"/>
          <w:szCs w:val="36"/>
        </w:rPr>
        <w:t>竞争性谈判报告</w:t>
      </w:r>
    </w:p>
    <w:p>
      <w:pPr>
        <w:kinsoku/>
        <w:overflowPunct/>
        <w:topLinePunct w:val="0"/>
        <w:bidi w:val="0"/>
        <w:spacing w:line="560" w:lineRule="exact"/>
        <w:jc w:val="center"/>
        <w:rPr>
          <w:rFonts w:ascii="宋体" w:hAnsi="宋体"/>
          <w:sz w:val="10"/>
          <w:szCs w:val="10"/>
        </w:rPr>
      </w:pPr>
    </w:p>
    <w:p>
      <w:pPr>
        <w:kinsoku/>
        <w:overflowPunct/>
        <w:topLinePunct w:val="0"/>
        <w:bidi w:val="0"/>
        <w:spacing w:line="560" w:lineRule="exact"/>
        <w:ind w:left="210" w:leftChars="100" w:firstLine="480" w:firstLineChars="200"/>
        <w:jc w:val="left"/>
        <w:rPr>
          <w:rFonts w:ascii="宋体" w:hAnsi="宋体"/>
          <w:bCs/>
          <w:sz w:val="24"/>
          <w:szCs w:val="24"/>
        </w:rPr>
      </w:pPr>
      <w:r>
        <w:rPr>
          <w:rFonts w:hint="eastAsia" w:ascii="宋体" w:hAnsi="宋体"/>
          <w:sz w:val="24"/>
          <w:szCs w:val="24"/>
          <w:u w:val="single"/>
          <w:lang w:val="en-US" w:eastAsia="zh-CN"/>
        </w:rPr>
        <w:t>广元燃机工程建设期生活用房</w:t>
      </w:r>
      <w:r>
        <w:rPr>
          <w:rFonts w:ascii="宋体" w:hAnsi="宋体"/>
          <w:sz w:val="24"/>
          <w:szCs w:val="24"/>
          <w:u w:val="single"/>
        </w:rPr>
        <w:t xml:space="preserve"> </w:t>
      </w:r>
      <w:r>
        <w:rPr>
          <w:rFonts w:hint="eastAsia" w:ascii="宋体" w:hAnsi="宋体" w:cs="宋体"/>
          <w:sz w:val="24"/>
          <w:szCs w:val="24"/>
        </w:rPr>
        <w:t>项目</w:t>
      </w:r>
      <w:r>
        <w:rPr>
          <w:rFonts w:hint="eastAsia" w:ascii="宋体" w:hAnsi="宋体"/>
          <w:sz w:val="24"/>
          <w:szCs w:val="24"/>
        </w:rPr>
        <w:t>竞争性谈判评审会于</w:t>
      </w:r>
      <w:r>
        <w:rPr>
          <w:rFonts w:ascii="宋体" w:hAnsi="宋体"/>
          <w:sz w:val="24"/>
          <w:szCs w:val="24"/>
          <w:u w:val="single"/>
        </w:rPr>
        <w:t xml:space="preserve"> </w:t>
      </w:r>
      <w:r>
        <w:rPr>
          <w:rFonts w:hint="eastAsia" w:ascii="宋体" w:hAnsi="宋体"/>
          <w:sz w:val="24"/>
          <w:szCs w:val="24"/>
          <w:u w:val="single"/>
          <w:lang w:val="en-US" w:eastAsia="zh-CN"/>
        </w:rPr>
        <w:t>2022</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lang w:val="en-US" w:eastAsia="zh-CN"/>
        </w:rPr>
        <w:t>5</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18</w:t>
      </w:r>
      <w:r>
        <w:rPr>
          <w:rFonts w:hint="eastAsia" w:ascii="宋体" w:hAnsi="宋体"/>
          <w:sz w:val="24"/>
          <w:szCs w:val="24"/>
          <w:u w:val="single"/>
        </w:rPr>
        <w:t xml:space="preserve"> </w:t>
      </w:r>
      <w:r>
        <w:rPr>
          <w:rFonts w:hint="eastAsia" w:ascii="宋体" w:hAnsi="宋体"/>
          <w:sz w:val="24"/>
          <w:szCs w:val="24"/>
        </w:rPr>
        <w:t>日在</w:t>
      </w:r>
      <w:r>
        <w:rPr>
          <w:rFonts w:ascii="宋体" w:hAnsi="宋体"/>
          <w:sz w:val="24"/>
          <w:szCs w:val="24"/>
          <w:u w:val="single"/>
        </w:rPr>
        <w:t xml:space="preserve"> </w:t>
      </w:r>
      <w:r>
        <w:rPr>
          <w:rFonts w:hint="eastAsia" w:ascii="宋体" w:hAnsi="宋体"/>
          <w:sz w:val="24"/>
          <w:szCs w:val="24"/>
          <w:u w:val="single"/>
          <w:lang w:val="en-US" w:eastAsia="zh-CN"/>
        </w:rPr>
        <w:t>成都市武侯大道中段279号成达大厦10楼</w:t>
      </w:r>
      <w:r>
        <w:rPr>
          <w:rFonts w:ascii="宋体" w:hAnsi="宋体"/>
          <w:sz w:val="24"/>
          <w:szCs w:val="24"/>
          <w:u w:val="single"/>
        </w:rPr>
        <w:t xml:space="preserve"> </w:t>
      </w:r>
      <w:r>
        <w:rPr>
          <w:rFonts w:hint="eastAsia" w:ascii="宋体" w:hAnsi="宋体"/>
          <w:sz w:val="24"/>
          <w:szCs w:val="24"/>
        </w:rPr>
        <w:t>（谈判地点</w:t>
      </w:r>
      <w:r>
        <w:rPr>
          <w:rFonts w:ascii="宋体" w:hAnsi="宋体"/>
          <w:sz w:val="24"/>
          <w:szCs w:val="24"/>
        </w:rPr>
        <w:t>）</w:t>
      </w:r>
      <w:r>
        <w:rPr>
          <w:rFonts w:hint="eastAsia" w:ascii="宋体" w:hAnsi="宋体"/>
          <w:sz w:val="24"/>
          <w:szCs w:val="24"/>
        </w:rPr>
        <w:t>进行。 参加本项目竞争性谈判的响应人有</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家，合格</w:t>
      </w:r>
      <w:r>
        <w:rPr>
          <w:rFonts w:ascii="宋体" w:hAnsi="宋体"/>
          <w:sz w:val="24"/>
          <w:szCs w:val="24"/>
        </w:rPr>
        <w:t>的</w:t>
      </w:r>
      <w:r>
        <w:rPr>
          <w:rFonts w:hint="eastAsia" w:ascii="宋体" w:hAnsi="宋体"/>
          <w:sz w:val="24"/>
          <w:szCs w:val="24"/>
        </w:rPr>
        <w:t>响应人有</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家。本项目的竞争性谈判全过程由</w:t>
      </w:r>
      <w:r>
        <w:rPr>
          <w:rFonts w:hint="eastAsia" w:ascii="宋体" w:hAnsi="宋体"/>
          <w:sz w:val="24"/>
          <w:szCs w:val="24"/>
          <w:u w:val="single"/>
        </w:rPr>
        <w:t xml:space="preserve">               </w:t>
      </w:r>
      <w:r>
        <w:rPr>
          <w:rFonts w:hint="eastAsia" w:ascii="宋体" w:hAnsi="宋体"/>
          <w:sz w:val="24"/>
          <w:szCs w:val="24"/>
        </w:rPr>
        <w:t>派员监督。</w:t>
      </w:r>
    </w:p>
    <w:p>
      <w:pPr>
        <w:kinsoku/>
        <w:overflowPunct/>
        <w:topLinePunct w:val="0"/>
        <w:bidi w:val="0"/>
        <w:spacing w:line="560" w:lineRule="exact"/>
        <w:ind w:left="210" w:leftChars="100" w:firstLine="480" w:firstLineChars="200"/>
        <w:jc w:val="left"/>
        <w:rPr>
          <w:rFonts w:ascii="宋体" w:hAnsi="宋体"/>
          <w:sz w:val="24"/>
          <w:szCs w:val="24"/>
        </w:rPr>
      </w:pPr>
      <w:r>
        <w:rPr>
          <w:rFonts w:hint="eastAsia" w:ascii="宋体" w:hAnsi="宋体"/>
          <w:sz w:val="24"/>
          <w:szCs w:val="24"/>
        </w:rPr>
        <w:t>本次谈判小组由</w:t>
      </w:r>
      <w:r>
        <w:rPr>
          <w:rFonts w:hint="eastAsia" w:ascii="宋体" w:hAnsi="宋体"/>
          <w:sz w:val="24"/>
          <w:szCs w:val="24"/>
          <w:u w:val="single"/>
        </w:rPr>
        <w:t xml:space="preserve">  </w:t>
      </w:r>
      <w:r>
        <w:rPr>
          <w:rFonts w:hint="eastAsia" w:ascii="宋体" w:hAnsi="宋体"/>
          <w:sz w:val="24"/>
          <w:szCs w:val="24"/>
        </w:rPr>
        <w:t>人组成，经过严格、仔细的谈判、评审，推荐的成交候选人如下：</w:t>
      </w:r>
    </w:p>
    <w:tbl>
      <w:tblPr>
        <w:tblStyle w:val="17"/>
        <w:tblpPr w:leftFromText="180" w:rightFromText="180" w:vertAnchor="text" w:horzAnchor="margin" w:tblpY="1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368" w:type="dxa"/>
            <w:noWrap w:val="0"/>
            <w:vAlign w:val="center"/>
          </w:tcPr>
          <w:p>
            <w:pPr>
              <w:kinsoku/>
              <w:overflowPunct/>
              <w:topLinePunct w:val="0"/>
              <w:bidi w:val="0"/>
              <w:spacing w:line="560" w:lineRule="exact"/>
              <w:jc w:val="center"/>
              <w:rPr>
                <w:rFonts w:ascii="宋体" w:hAnsi="宋体"/>
                <w:sz w:val="24"/>
                <w:szCs w:val="24"/>
              </w:rPr>
            </w:pPr>
            <w:r>
              <w:rPr>
                <w:rFonts w:hint="eastAsia" w:ascii="宋体" w:hAnsi="宋体"/>
                <w:sz w:val="24"/>
                <w:szCs w:val="24"/>
              </w:rPr>
              <w:t>第一名：</w:t>
            </w:r>
          </w:p>
        </w:tc>
        <w:tc>
          <w:tcPr>
            <w:tcW w:w="7154" w:type="dxa"/>
            <w:noWrap w:val="0"/>
            <w:vAlign w:val="center"/>
          </w:tcPr>
          <w:p>
            <w:pPr>
              <w:kinsoku/>
              <w:overflowPunct/>
              <w:topLinePunct w:val="0"/>
              <w:bidi w:val="0"/>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68" w:type="dxa"/>
            <w:noWrap w:val="0"/>
            <w:vAlign w:val="center"/>
          </w:tcPr>
          <w:p>
            <w:pPr>
              <w:kinsoku/>
              <w:overflowPunct/>
              <w:topLinePunct w:val="0"/>
              <w:bidi w:val="0"/>
              <w:spacing w:line="560" w:lineRule="exact"/>
              <w:jc w:val="center"/>
              <w:rPr>
                <w:rFonts w:ascii="宋体" w:hAnsi="宋体"/>
                <w:sz w:val="24"/>
                <w:szCs w:val="24"/>
              </w:rPr>
            </w:pPr>
            <w:r>
              <w:rPr>
                <w:rFonts w:hint="eastAsia" w:ascii="宋体" w:hAnsi="宋体"/>
                <w:sz w:val="24"/>
                <w:szCs w:val="24"/>
              </w:rPr>
              <w:t>第二名：</w:t>
            </w:r>
          </w:p>
        </w:tc>
        <w:tc>
          <w:tcPr>
            <w:tcW w:w="7154" w:type="dxa"/>
            <w:noWrap w:val="0"/>
            <w:vAlign w:val="center"/>
          </w:tcPr>
          <w:p>
            <w:pPr>
              <w:kinsoku/>
              <w:overflowPunct/>
              <w:topLinePunct w:val="0"/>
              <w:bidi w:val="0"/>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68" w:type="dxa"/>
            <w:noWrap w:val="0"/>
            <w:vAlign w:val="center"/>
          </w:tcPr>
          <w:p>
            <w:pPr>
              <w:kinsoku/>
              <w:overflowPunct/>
              <w:topLinePunct w:val="0"/>
              <w:bidi w:val="0"/>
              <w:spacing w:line="560" w:lineRule="exact"/>
              <w:jc w:val="center"/>
              <w:rPr>
                <w:rFonts w:ascii="宋体" w:hAnsi="宋体"/>
                <w:sz w:val="24"/>
                <w:szCs w:val="24"/>
              </w:rPr>
            </w:pPr>
            <w:r>
              <w:rPr>
                <w:rFonts w:hint="eastAsia" w:ascii="宋体" w:hAnsi="宋体"/>
                <w:sz w:val="24"/>
                <w:szCs w:val="24"/>
              </w:rPr>
              <w:t>第三名：</w:t>
            </w:r>
          </w:p>
        </w:tc>
        <w:tc>
          <w:tcPr>
            <w:tcW w:w="7154" w:type="dxa"/>
            <w:noWrap w:val="0"/>
            <w:vAlign w:val="center"/>
          </w:tcPr>
          <w:p>
            <w:pPr>
              <w:kinsoku/>
              <w:overflowPunct/>
              <w:topLinePunct w:val="0"/>
              <w:bidi w:val="0"/>
              <w:spacing w:line="560" w:lineRule="exact"/>
              <w:rPr>
                <w:rFonts w:ascii="宋体" w:hAnsi="宋体"/>
                <w:sz w:val="24"/>
                <w:szCs w:val="24"/>
              </w:rPr>
            </w:pPr>
          </w:p>
        </w:tc>
      </w:tr>
    </w:tbl>
    <w:p>
      <w:pPr>
        <w:kinsoku/>
        <w:overflowPunct/>
        <w:topLinePunct w:val="0"/>
        <w:bidi w:val="0"/>
        <w:spacing w:line="560" w:lineRule="exact"/>
        <w:rPr>
          <w:rFonts w:ascii="宋体" w:hAnsi="宋体" w:cs="宋体"/>
          <w:kern w:val="0"/>
          <w:sz w:val="24"/>
          <w:szCs w:val="24"/>
          <w:u w:val="single"/>
        </w:rPr>
      </w:pPr>
    </w:p>
    <w:p>
      <w:pPr>
        <w:kinsoku/>
        <w:overflowPunct/>
        <w:topLinePunct w:val="0"/>
        <w:bidi w:val="0"/>
        <w:spacing w:line="560" w:lineRule="exact"/>
        <w:rPr>
          <w:rFonts w:ascii="宋体" w:hAnsi="宋体"/>
          <w:sz w:val="24"/>
          <w:szCs w:val="24"/>
        </w:rPr>
      </w:pPr>
      <w:r>
        <w:rPr>
          <w:rFonts w:hint="eastAsia" w:ascii="宋体" w:hAnsi="宋体"/>
          <w:sz w:val="24"/>
          <w:szCs w:val="24"/>
        </w:rPr>
        <w:t>谈判小组全体成员签字：</w:t>
      </w:r>
    </w:p>
    <w:p>
      <w:pPr>
        <w:kinsoku/>
        <w:overflowPunct/>
        <w:topLinePunct w:val="0"/>
        <w:bidi w:val="0"/>
        <w:spacing w:line="560" w:lineRule="exact"/>
        <w:rPr>
          <w:rFonts w:ascii="宋体" w:hAnsi="宋体"/>
          <w:sz w:val="24"/>
          <w:szCs w:val="24"/>
        </w:rPr>
      </w:pPr>
    </w:p>
    <w:p>
      <w:pPr>
        <w:kinsoku/>
        <w:overflowPunct/>
        <w:topLinePunct w:val="0"/>
        <w:bidi w:val="0"/>
        <w:spacing w:line="560" w:lineRule="exact"/>
        <w:jc w:val="left"/>
        <w:rPr>
          <w:rFonts w:ascii="宋体" w:hAnsi="宋体"/>
          <w:sz w:val="24"/>
          <w:szCs w:val="24"/>
        </w:rPr>
      </w:pPr>
      <w:r>
        <w:rPr>
          <w:rFonts w:hint="eastAsia" w:ascii="宋体" w:hAnsi="宋体"/>
          <w:sz w:val="24"/>
          <w:szCs w:val="24"/>
        </w:rPr>
        <w:t>监督人员签字：</w:t>
      </w:r>
    </w:p>
    <w:p>
      <w:pPr>
        <w:kinsoku/>
        <w:overflowPunct/>
        <w:topLinePunct w:val="0"/>
        <w:bidi w:val="0"/>
        <w:spacing w:line="560" w:lineRule="exact"/>
        <w:rPr>
          <w:rFonts w:ascii="宋体" w:hAnsi="宋体"/>
          <w:sz w:val="24"/>
          <w:szCs w:val="24"/>
        </w:rPr>
      </w:pPr>
    </w:p>
    <w:p>
      <w:pPr>
        <w:kinsoku/>
        <w:overflowPunct/>
        <w:topLinePunct w:val="0"/>
        <w:bidi w:val="0"/>
        <w:spacing w:line="560" w:lineRule="exact"/>
        <w:jc w:val="right"/>
        <w:rPr>
          <w:rFonts w:ascii="宋体" w:hAnsi="宋体"/>
          <w:sz w:val="24"/>
          <w:szCs w:val="24"/>
        </w:rPr>
      </w:pP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pPr>
        <w:kinsoku/>
        <w:overflowPunct/>
        <w:topLinePunct w:val="0"/>
        <w:bidi w:val="0"/>
        <w:spacing w:line="560" w:lineRule="exact"/>
        <w:rPr>
          <w:rFonts w:hint="eastAsia" w:ascii="宋体" w:hAnsi="宋体"/>
          <w:bCs/>
          <w:szCs w:val="21"/>
        </w:rPr>
      </w:pPr>
    </w:p>
    <w:p>
      <w:pPr>
        <w:kinsoku/>
        <w:overflowPunct/>
        <w:topLinePunct w:val="0"/>
        <w:bidi w:val="0"/>
        <w:spacing w:line="560" w:lineRule="exact"/>
        <w:rPr>
          <w:rFonts w:hint="eastAsia" w:ascii="宋体" w:hAnsi="宋体"/>
          <w:bCs/>
          <w:szCs w:val="21"/>
        </w:rPr>
      </w:pPr>
    </w:p>
    <w:p>
      <w:pPr>
        <w:kinsoku/>
        <w:overflowPunct/>
        <w:topLinePunct w:val="0"/>
        <w:bidi w:val="0"/>
        <w:spacing w:line="560" w:lineRule="exact"/>
        <w:rPr>
          <w:rFonts w:ascii="宋体" w:hAnsi="宋体"/>
          <w:bCs/>
          <w:szCs w:val="21"/>
        </w:rPr>
      </w:pPr>
      <w:r>
        <w:rPr>
          <w:rFonts w:hint="eastAsia" w:ascii="宋体" w:hAnsi="宋体"/>
          <w:bCs/>
          <w:szCs w:val="21"/>
        </w:rPr>
        <w:t>注：对谈判结论有异议的谈判小组成员可以书面方式阐述其不同意见和理由。谈判小组成员拒绝在评审报告上签字且不陈述不同意见和理由的，视为同意谈判结论。</w:t>
      </w:r>
    </w:p>
    <w:p>
      <w:pPr>
        <w:pStyle w:val="26"/>
        <w:kinsoku/>
        <w:overflowPunct/>
        <w:topLinePunct w:val="0"/>
        <w:bidi w:val="0"/>
        <w:spacing w:line="560" w:lineRule="exact"/>
        <w:ind w:firstLine="643" w:firstLineChars="200"/>
        <w:jc w:val="center"/>
        <w:rPr>
          <w:b/>
          <w:bCs/>
          <w:color w:val="000000"/>
          <w:sz w:val="32"/>
          <w:szCs w:val="32"/>
        </w:rPr>
      </w:pPr>
    </w:p>
    <w:p>
      <w:pPr>
        <w:pStyle w:val="26"/>
        <w:kinsoku/>
        <w:overflowPunct/>
        <w:topLinePunct w:val="0"/>
        <w:bidi w:val="0"/>
        <w:spacing w:line="560" w:lineRule="exact"/>
        <w:ind w:firstLine="643" w:firstLineChars="200"/>
        <w:jc w:val="center"/>
        <w:rPr>
          <w:rFonts w:hint="eastAsia"/>
          <w:b/>
          <w:bCs/>
          <w:color w:val="000000"/>
          <w:u w:val="single"/>
        </w:rPr>
      </w:pPr>
      <w:r>
        <w:rPr>
          <w:rFonts w:hint="eastAsia"/>
          <w:b/>
          <w:bCs/>
          <w:color w:val="000000"/>
          <w:sz w:val="32"/>
          <w:szCs w:val="32"/>
        </w:rPr>
        <w:t>成交</w:t>
      </w:r>
      <w:r>
        <w:rPr>
          <w:b/>
          <w:bCs/>
          <w:color w:val="000000"/>
          <w:sz w:val="32"/>
          <w:szCs w:val="32"/>
        </w:rPr>
        <w:t>通知书</w:t>
      </w:r>
    </w:p>
    <w:p>
      <w:pPr>
        <w:pStyle w:val="26"/>
        <w:kinsoku/>
        <w:overflowPunct/>
        <w:topLinePunct w:val="0"/>
        <w:bidi w:val="0"/>
        <w:spacing w:line="560" w:lineRule="exact"/>
        <w:ind w:firstLine="482" w:firstLineChars="200"/>
        <w:jc w:val="both"/>
        <w:rPr>
          <w:color w:val="000000"/>
          <w:sz w:val="21"/>
          <w:szCs w:val="21"/>
        </w:rPr>
      </w:pPr>
      <w:r>
        <w:rPr>
          <w:rFonts w:hint="eastAsia"/>
          <w:b/>
          <w:bCs/>
          <w:color w:val="000000"/>
          <w:u w:val="single"/>
        </w:rPr>
        <w:t xml:space="preserve">                      </w:t>
      </w:r>
      <w:r>
        <w:rPr>
          <w:color w:val="000000"/>
        </w:rPr>
        <w:t xml:space="preserve">: </w:t>
      </w:r>
    </w:p>
    <w:p>
      <w:pPr>
        <w:pStyle w:val="26"/>
        <w:kinsoku/>
        <w:overflowPunct/>
        <w:topLinePunct w:val="0"/>
        <w:bidi w:val="0"/>
        <w:spacing w:line="560" w:lineRule="exact"/>
        <w:ind w:firstLine="480" w:firstLineChars="200"/>
        <w:jc w:val="both"/>
        <w:rPr>
          <w:color w:val="000000"/>
          <w:sz w:val="21"/>
          <w:szCs w:val="21"/>
        </w:rPr>
      </w:pPr>
      <w:r>
        <w:rPr>
          <w:color w:val="000000"/>
        </w:rPr>
        <w:t>你方于</w:t>
      </w:r>
      <w:r>
        <w:rPr>
          <w:color w:val="000000"/>
          <w:u w:val="single"/>
        </w:rPr>
        <w:t xml:space="preserve"> </w:t>
      </w:r>
      <w:r>
        <w:rPr>
          <w:bCs/>
          <w:color w:val="000000"/>
          <w:u w:val="single"/>
        </w:rPr>
        <w:t xml:space="preserve">   </w:t>
      </w:r>
      <w:r>
        <w:rPr>
          <w:bCs/>
          <w:color w:val="000000"/>
        </w:rPr>
        <w:t>年</w:t>
      </w:r>
      <w:r>
        <w:rPr>
          <w:bCs/>
          <w:color w:val="000000"/>
          <w:u w:val="single"/>
        </w:rPr>
        <w:t xml:space="preserve">   </w:t>
      </w:r>
      <w:r>
        <w:rPr>
          <w:bCs/>
          <w:color w:val="000000"/>
        </w:rPr>
        <w:t>月</w:t>
      </w:r>
      <w:r>
        <w:rPr>
          <w:bCs/>
          <w:color w:val="000000"/>
          <w:u w:val="single"/>
        </w:rPr>
        <w:t xml:space="preserve">   </w:t>
      </w:r>
      <w:r>
        <w:rPr>
          <w:bCs/>
          <w:color w:val="000000"/>
        </w:rPr>
        <w:t>日</w:t>
      </w:r>
      <w:r>
        <w:rPr>
          <w:bCs/>
          <w:color w:val="000000"/>
          <w:u w:val="single"/>
        </w:rPr>
        <w:t xml:space="preserve">   </w:t>
      </w:r>
      <w:r>
        <w:rPr>
          <w:bCs/>
          <w:color w:val="000000"/>
        </w:rPr>
        <w:t>时</w:t>
      </w:r>
      <w:r>
        <w:rPr>
          <w:bCs/>
          <w:color w:val="000000"/>
          <w:u w:val="single"/>
        </w:rPr>
        <w:t xml:space="preserve">    </w:t>
      </w:r>
      <w:r>
        <w:rPr>
          <w:bCs/>
          <w:color w:val="000000"/>
        </w:rPr>
        <w:t>分</w:t>
      </w:r>
      <w:r>
        <w:rPr>
          <w:color w:val="000000"/>
        </w:rPr>
        <w:t>所递交的</w:t>
      </w:r>
      <w:r>
        <w:rPr>
          <w:rFonts w:hint="eastAsia"/>
          <w:b/>
          <w:bCs/>
          <w:color w:val="000000"/>
          <w:u w:val="single"/>
        </w:rPr>
        <w:t xml:space="preserve"> </w:t>
      </w:r>
      <w:r>
        <w:rPr>
          <w:b/>
          <w:bCs/>
          <w:color w:val="000000"/>
          <w:u w:val="single"/>
        </w:rPr>
        <w:t xml:space="preserve">           </w:t>
      </w:r>
      <w:r>
        <w:rPr>
          <w:rFonts w:hint="eastAsia"/>
          <w:bCs/>
          <w:color w:val="000000"/>
        </w:rPr>
        <w:t>项目</w:t>
      </w:r>
      <w:r>
        <w:rPr>
          <w:rFonts w:hint="eastAsia"/>
          <w:color w:val="000000"/>
        </w:rPr>
        <w:t>竞争性谈判响应</w:t>
      </w:r>
      <w:r>
        <w:rPr>
          <w:color w:val="000000"/>
        </w:rPr>
        <w:t>文件</w:t>
      </w:r>
      <w:r>
        <w:rPr>
          <w:rFonts w:hint="eastAsia"/>
          <w:color w:val="000000"/>
        </w:rPr>
        <w:t>已</w:t>
      </w:r>
      <w:r>
        <w:rPr>
          <w:color w:val="000000"/>
        </w:rPr>
        <w:t>被我方接受，被确定为</w:t>
      </w:r>
      <w:r>
        <w:rPr>
          <w:rFonts w:hint="eastAsia"/>
          <w:color w:val="000000"/>
        </w:rPr>
        <w:t>成交</w:t>
      </w:r>
      <w:r>
        <w:rPr>
          <w:color w:val="000000"/>
        </w:rPr>
        <w:t>人。</w:t>
      </w:r>
    </w:p>
    <w:p>
      <w:pPr>
        <w:pStyle w:val="26"/>
        <w:kinsoku/>
        <w:overflowPunct/>
        <w:topLinePunct w:val="0"/>
        <w:bidi w:val="0"/>
        <w:spacing w:line="560" w:lineRule="exact"/>
        <w:ind w:firstLine="480" w:firstLineChars="200"/>
        <w:jc w:val="both"/>
        <w:rPr>
          <w:color w:val="000000"/>
          <w:sz w:val="21"/>
          <w:szCs w:val="21"/>
        </w:rPr>
      </w:pPr>
      <w:r>
        <w:rPr>
          <w:rFonts w:hint="eastAsia"/>
          <w:color w:val="000000"/>
        </w:rPr>
        <w:t>报价</w:t>
      </w:r>
      <w:r>
        <w:rPr>
          <w:color w:val="000000"/>
        </w:rPr>
        <w:t>：</w:t>
      </w:r>
      <w:r>
        <w:rPr>
          <w:color w:val="000000"/>
          <w:u w:val="single"/>
        </w:rPr>
        <w:t xml:space="preserve"> </w:t>
      </w:r>
      <w:r>
        <w:rPr>
          <w:b/>
          <w:bCs/>
          <w:color w:val="000000"/>
          <w:u w:val="single"/>
        </w:rPr>
        <w:t xml:space="preserve">                 </w:t>
      </w:r>
      <w:r>
        <w:rPr>
          <w:rFonts w:hint="eastAsia"/>
          <w:b/>
          <w:bCs/>
          <w:color w:val="000000"/>
          <w:u w:val="single"/>
        </w:rPr>
        <w:t xml:space="preserve">  </w:t>
      </w:r>
      <w:r>
        <w:rPr>
          <w:b/>
          <w:bCs/>
          <w:color w:val="000000"/>
          <w:u w:val="single"/>
        </w:rPr>
        <w:t xml:space="preserve">    </w:t>
      </w:r>
      <w:r>
        <w:rPr>
          <w:color w:val="000000"/>
        </w:rPr>
        <w:t>万元。</w:t>
      </w:r>
    </w:p>
    <w:p>
      <w:pPr>
        <w:pStyle w:val="26"/>
        <w:kinsoku/>
        <w:overflowPunct/>
        <w:topLinePunct w:val="0"/>
        <w:bidi w:val="0"/>
        <w:spacing w:line="560" w:lineRule="exact"/>
        <w:ind w:firstLine="480" w:firstLineChars="200"/>
        <w:jc w:val="both"/>
        <w:rPr>
          <w:color w:val="000000"/>
        </w:rPr>
      </w:pPr>
      <w:r>
        <w:rPr>
          <w:color w:val="000000"/>
        </w:rPr>
        <w:t>工期</w:t>
      </w:r>
      <w:r>
        <w:rPr>
          <w:rFonts w:hint="eastAsia"/>
          <w:color w:val="000000"/>
        </w:rPr>
        <w:t>/期限</w:t>
      </w:r>
      <w:r>
        <w:rPr>
          <w:color w:val="000000"/>
        </w:rPr>
        <w:t>：</w:t>
      </w:r>
      <w:r>
        <w:rPr>
          <w:color w:val="000000"/>
          <w:u w:val="single"/>
        </w:rPr>
        <w:t xml:space="preserve">  </w:t>
      </w:r>
      <w:r>
        <w:rPr>
          <w:b/>
          <w:bCs/>
          <w:color w:val="000000"/>
          <w:u w:val="single"/>
        </w:rPr>
        <w:t xml:space="preserve">               </w:t>
      </w:r>
      <w:r>
        <w:rPr>
          <w:color w:val="000000"/>
        </w:rPr>
        <w:t>日历天。</w:t>
      </w:r>
    </w:p>
    <w:p>
      <w:pPr>
        <w:pStyle w:val="26"/>
        <w:kinsoku/>
        <w:overflowPunct/>
        <w:topLinePunct w:val="0"/>
        <w:bidi w:val="0"/>
        <w:spacing w:line="560" w:lineRule="exact"/>
        <w:ind w:firstLine="480" w:firstLineChars="200"/>
        <w:jc w:val="both"/>
        <w:rPr>
          <w:color w:val="000000"/>
        </w:rPr>
      </w:pPr>
      <w:r>
        <w:rPr>
          <w:rFonts w:hint="eastAsia"/>
          <w:color w:val="000000"/>
        </w:rPr>
        <w:t>质量</w:t>
      </w:r>
      <w:r>
        <w:rPr>
          <w:color w:val="000000"/>
        </w:rPr>
        <w:t>：</w:t>
      </w:r>
      <w:r>
        <w:rPr>
          <w:rFonts w:hint="eastAsia"/>
          <w:color w:val="000000"/>
        </w:rPr>
        <w:t>符合</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w:t>
      </w:r>
    </w:p>
    <w:p>
      <w:pPr>
        <w:pStyle w:val="26"/>
        <w:kinsoku/>
        <w:overflowPunct/>
        <w:topLinePunct w:val="0"/>
        <w:bidi w:val="0"/>
        <w:spacing w:line="560" w:lineRule="exact"/>
        <w:ind w:firstLine="480" w:firstLineChars="200"/>
        <w:jc w:val="both"/>
        <w:rPr>
          <w:color w:val="000000"/>
        </w:rPr>
      </w:pPr>
      <w:r>
        <w:rPr>
          <w:rFonts w:hint="eastAsia"/>
          <w:color w:val="000000"/>
        </w:rPr>
        <w:t>项目负责人</w:t>
      </w:r>
      <w:r>
        <w:rPr>
          <w:color w:val="000000"/>
        </w:rPr>
        <w:t>：</w:t>
      </w:r>
      <w:r>
        <w:rPr>
          <w:rFonts w:hint="eastAsia"/>
          <w:b/>
          <w:bCs/>
          <w:color w:val="000000"/>
          <w:u w:val="single"/>
        </w:rPr>
        <w:t xml:space="preserve"> </w:t>
      </w:r>
      <w:r>
        <w:rPr>
          <w:b/>
          <w:bCs/>
          <w:color w:val="000000"/>
          <w:u w:val="single"/>
        </w:rPr>
        <w:t xml:space="preserve">                    </w:t>
      </w:r>
      <w:r>
        <w:rPr>
          <w:rFonts w:hint="eastAsia"/>
          <w:b/>
          <w:bCs/>
          <w:color w:val="000000"/>
          <w:u w:val="single"/>
        </w:rPr>
        <w:t xml:space="preserve"> </w:t>
      </w:r>
      <w:r>
        <w:rPr>
          <w:color w:val="000000"/>
        </w:rPr>
        <w:t>。</w:t>
      </w:r>
    </w:p>
    <w:p>
      <w:pPr>
        <w:pStyle w:val="26"/>
        <w:kinsoku/>
        <w:overflowPunct/>
        <w:topLinePunct w:val="0"/>
        <w:bidi w:val="0"/>
        <w:spacing w:line="560" w:lineRule="exact"/>
        <w:ind w:left="105" w:leftChars="50" w:firstLine="360" w:firstLineChars="150"/>
        <w:jc w:val="both"/>
        <w:rPr>
          <w:color w:val="000000"/>
          <w:sz w:val="21"/>
          <w:szCs w:val="21"/>
        </w:rPr>
      </w:pPr>
      <w:r>
        <w:rPr>
          <w:color w:val="000000"/>
        </w:rPr>
        <w:t>请你方在接到本通知书后的</w:t>
      </w:r>
      <w:r>
        <w:rPr>
          <w:color w:val="000000"/>
          <w:u w:val="single"/>
        </w:rPr>
        <w:t xml:space="preserve"> </w:t>
      </w:r>
      <w:r>
        <w:rPr>
          <w:b/>
          <w:bCs/>
          <w:color w:val="000000"/>
          <w:u w:val="single"/>
        </w:rPr>
        <w:t xml:space="preserve">  </w:t>
      </w:r>
      <w:r>
        <w:rPr>
          <w:color w:val="000000"/>
        </w:rPr>
        <w:t>日内到</w:t>
      </w:r>
      <w:r>
        <w:rPr>
          <w:rFonts w:hint="eastAsia"/>
          <w:b/>
          <w:bCs/>
          <w:color w:val="000000"/>
          <w:u w:val="single"/>
        </w:rPr>
        <w:t xml:space="preserve"> </w:t>
      </w:r>
      <w:r>
        <w:rPr>
          <w:b/>
          <w:bCs/>
          <w:color w:val="000000"/>
          <w:u w:val="single"/>
        </w:rPr>
        <w:t xml:space="preserve">       </w:t>
      </w:r>
      <w:r>
        <w:rPr>
          <w:rFonts w:hint="eastAsia"/>
          <w:b/>
          <w:bCs/>
          <w:color w:val="000000"/>
          <w:u w:val="single"/>
        </w:rPr>
        <w:t xml:space="preserve"> </w:t>
      </w:r>
      <w:r>
        <w:rPr>
          <w:b/>
          <w:bCs/>
          <w:color w:val="000000"/>
          <w:u w:val="single"/>
        </w:rPr>
        <w:t xml:space="preserve">         </w:t>
      </w:r>
      <w:r>
        <w:rPr>
          <w:color w:val="000000"/>
        </w:rPr>
        <w:t>（指定地点）与我方签订</w:t>
      </w:r>
      <w:r>
        <w:rPr>
          <w:rFonts w:hint="eastAsia"/>
          <w:color w:val="000000"/>
        </w:rPr>
        <w:t>合同书</w:t>
      </w:r>
      <w:r>
        <w:rPr>
          <w:color w:val="000000"/>
        </w:rPr>
        <w:t>，在此之前按</w:t>
      </w:r>
      <w:r>
        <w:rPr>
          <w:rFonts w:hint="eastAsia"/>
          <w:color w:val="000000"/>
        </w:rPr>
        <w:t>竞争性谈判文件</w:t>
      </w:r>
      <w:r>
        <w:rPr>
          <w:color w:val="000000"/>
        </w:rPr>
        <w:t>规定向我方提交履约</w:t>
      </w:r>
      <w:r>
        <w:rPr>
          <w:rFonts w:hint="eastAsia"/>
          <w:color w:val="000000"/>
        </w:rPr>
        <w:t>保证金</w:t>
      </w:r>
      <w:r>
        <w:rPr>
          <w:color w:val="000000"/>
        </w:rPr>
        <w:t>。</w:t>
      </w:r>
    </w:p>
    <w:p>
      <w:pPr>
        <w:pStyle w:val="26"/>
        <w:kinsoku/>
        <w:overflowPunct/>
        <w:topLinePunct w:val="0"/>
        <w:bidi w:val="0"/>
        <w:spacing w:line="560" w:lineRule="exact"/>
        <w:ind w:firstLine="480" w:firstLineChars="200"/>
        <w:jc w:val="both"/>
        <w:rPr>
          <w:color w:val="000000"/>
          <w:sz w:val="21"/>
          <w:szCs w:val="21"/>
        </w:rPr>
      </w:pPr>
      <w:r>
        <w:rPr>
          <w:color w:val="000000"/>
        </w:rPr>
        <w:t>特此通知。</w:t>
      </w:r>
    </w:p>
    <w:p>
      <w:pPr>
        <w:pStyle w:val="26"/>
        <w:kinsoku/>
        <w:overflowPunct/>
        <w:topLinePunct w:val="0"/>
        <w:bidi w:val="0"/>
        <w:spacing w:line="560" w:lineRule="exact"/>
        <w:jc w:val="right"/>
        <w:rPr>
          <w:color w:val="000000"/>
          <w:sz w:val="21"/>
          <w:szCs w:val="21"/>
        </w:rPr>
      </w:pPr>
      <w:r>
        <w:rPr>
          <w:rFonts w:hint="eastAsia"/>
          <w:color w:val="000000"/>
        </w:rPr>
        <w:t>采</w:t>
      </w:r>
      <w:r>
        <w:rPr>
          <w:rFonts w:hint="eastAsia"/>
          <w:color w:val="000000"/>
          <w:lang w:val="en-US" w:eastAsia="zh-CN"/>
        </w:rPr>
        <w:t xml:space="preserve"> </w:t>
      </w:r>
      <w:r>
        <w:rPr>
          <w:rFonts w:hint="eastAsia"/>
          <w:color w:val="000000"/>
        </w:rPr>
        <w:t>购</w:t>
      </w:r>
      <w:r>
        <w:rPr>
          <w:rFonts w:hint="eastAsia"/>
          <w:color w:val="000000"/>
          <w:lang w:val="en-US" w:eastAsia="zh-CN"/>
        </w:rPr>
        <w:t xml:space="preserve"> </w:t>
      </w:r>
      <w:r>
        <w:rPr>
          <w:color w:val="000000"/>
        </w:rPr>
        <w:t>人：</w:t>
      </w:r>
      <w:r>
        <w:rPr>
          <w:rFonts w:hint="eastAsia"/>
          <w:b/>
          <w:bCs/>
          <w:color w:val="000000"/>
          <w:u w:val="single"/>
        </w:rPr>
        <w:t xml:space="preserve"> </w:t>
      </w:r>
      <w:r>
        <w:rPr>
          <w:b/>
          <w:bCs/>
          <w:color w:val="000000"/>
          <w:u w:val="single"/>
        </w:rPr>
        <w:t xml:space="preserve">                                     </w:t>
      </w:r>
      <w:r>
        <w:rPr>
          <w:color w:val="000000"/>
        </w:rPr>
        <w:t>（盖单位章）</w:t>
      </w:r>
    </w:p>
    <w:p>
      <w:pPr>
        <w:pStyle w:val="26"/>
        <w:kinsoku/>
        <w:overflowPunct/>
        <w:topLinePunct w:val="0"/>
        <w:bidi w:val="0"/>
        <w:spacing w:line="560" w:lineRule="exact"/>
        <w:jc w:val="right"/>
        <w:rPr>
          <w:color w:val="000000"/>
          <w:sz w:val="21"/>
          <w:szCs w:val="21"/>
        </w:rPr>
      </w:pPr>
      <w:r>
        <w:rPr>
          <w:color w:val="000000"/>
        </w:rPr>
        <w:t>法定代表人：</w:t>
      </w:r>
      <w:r>
        <w:rPr>
          <w:color w:val="000000"/>
          <w:u w:val="single"/>
        </w:rPr>
        <w:t xml:space="preserve">                                  </w:t>
      </w:r>
      <w:r>
        <w:rPr>
          <w:color w:val="000000"/>
        </w:rPr>
        <w:t>（签字或盖章）</w:t>
      </w:r>
    </w:p>
    <w:p>
      <w:pPr>
        <w:pStyle w:val="26"/>
        <w:kinsoku/>
        <w:overflowPunct/>
        <w:topLinePunct w:val="0"/>
        <w:bidi w:val="0"/>
        <w:spacing w:line="560" w:lineRule="exact"/>
        <w:ind w:left="2310" w:firstLine="2308" w:firstLineChars="962"/>
        <w:jc w:val="both"/>
        <w:rPr>
          <w:color w:val="000000"/>
          <w:sz w:val="21"/>
          <w:szCs w:val="21"/>
        </w:rPr>
      </w:pPr>
      <w:r>
        <w:rPr>
          <w:color w:val="000000"/>
          <w:u w:val="single"/>
        </w:rPr>
        <w:t xml:space="preserve">   </w:t>
      </w:r>
      <w:r>
        <w:rPr>
          <w:b/>
          <w:bCs/>
          <w:color w:val="000000"/>
          <w:u w:val="single"/>
        </w:rPr>
        <w:t xml:space="preserve">  </w:t>
      </w:r>
      <w:r>
        <w:rPr>
          <w:color w:val="000000"/>
          <w:u w:val="single"/>
        </w:rPr>
        <w:t xml:space="preserve">  </w:t>
      </w:r>
      <w:r>
        <w:rPr>
          <w:color w:val="000000"/>
        </w:rPr>
        <w:t>年</w:t>
      </w:r>
      <w:r>
        <w:rPr>
          <w:color w:val="000000"/>
          <w:u w:val="single"/>
        </w:rPr>
        <w:t xml:space="preserve"> </w:t>
      </w:r>
      <w:r>
        <w:rPr>
          <w:b/>
          <w:bCs/>
          <w:color w:val="000000"/>
          <w:u w:val="single"/>
        </w:rPr>
        <w:t xml:space="preserve">   </w:t>
      </w:r>
      <w:r>
        <w:rPr>
          <w:color w:val="000000"/>
          <w:u w:val="single"/>
        </w:rPr>
        <w:t xml:space="preserve"> </w:t>
      </w:r>
      <w:r>
        <w:rPr>
          <w:color w:val="000000"/>
        </w:rPr>
        <w:t>月</w:t>
      </w:r>
      <w:r>
        <w:rPr>
          <w:color w:val="000000"/>
          <w:u w:val="single"/>
        </w:rPr>
        <w:t xml:space="preserve"> </w:t>
      </w:r>
      <w:r>
        <w:rPr>
          <w:b/>
          <w:bCs/>
          <w:color w:val="000000"/>
          <w:u w:val="single"/>
        </w:rPr>
        <w:t xml:space="preserve">    </w:t>
      </w:r>
      <w:r>
        <w:rPr>
          <w:color w:val="000000"/>
          <w:u w:val="single"/>
        </w:rPr>
        <w:t xml:space="preserve"> </w:t>
      </w:r>
      <w:r>
        <w:rPr>
          <w:color w:val="000000"/>
        </w:rPr>
        <w:t>日</w:t>
      </w:r>
    </w:p>
    <w:p>
      <w:pPr>
        <w:pStyle w:val="26"/>
        <w:kinsoku/>
        <w:overflowPunct/>
        <w:topLinePunct w:val="0"/>
        <w:bidi w:val="0"/>
        <w:spacing w:line="560" w:lineRule="exact"/>
        <w:jc w:val="both"/>
      </w:pPr>
      <w:r>
        <w:rPr>
          <w:rFonts w:cs="Times New Roman"/>
          <w:color w:val="000000"/>
          <w:sz w:val="21"/>
          <w:szCs w:val="21"/>
        </w:rPr>
        <w:t> </w:t>
      </w:r>
    </w:p>
    <w:p>
      <w:pPr>
        <w:pStyle w:val="3"/>
        <w:kinsoku/>
        <w:overflowPunct/>
        <w:topLinePunct w:val="0"/>
        <w:bidi w:val="0"/>
        <w:spacing w:line="560" w:lineRule="exact"/>
        <w:rPr>
          <w:rFonts w:ascii="仿宋_GB2312" w:hAnsi="仿宋_GB2312" w:eastAsia="仿宋_GB2312" w:cs="仿宋_GB2312"/>
          <w:bCs/>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59FEE6-3304-4C53-AB25-5FF50E007706}"/>
  </w:font>
  <w:font w:name="Courier New">
    <w:panose1 w:val="02070309020205020404"/>
    <w:charset w:val="01"/>
    <w:family w:val="modern"/>
    <w:pitch w:val="default"/>
    <w:sig w:usb0="E0002EFF" w:usb1="C0007843" w:usb2="00000009" w:usb3="00000000" w:csb0="400001FF" w:csb1="FFFF0000"/>
    <w:embedRegular r:id="rId2" w:fontKey="{AEDF2491-D5CF-406B-B61D-05F2B8686B1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F4EAA83-C75C-4721-8804-7990CB52497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3EABA90C-04BD-4CF5-99A5-024476ECEB34}"/>
  </w:font>
  <w:font w:name="方正小标宋简体">
    <w:panose1 w:val="02000000000000000000"/>
    <w:charset w:val="86"/>
    <w:family w:val="script"/>
    <w:pitch w:val="default"/>
    <w:sig w:usb0="00000001" w:usb1="08000000" w:usb2="00000000" w:usb3="00000000" w:csb0="00040000" w:csb1="00000000"/>
    <w:embedRegular r:id="rId5" w:fontKey="{DC0B8934-2C31-4696-A013-EEF7D89FC3A5}"/>
  </w:font>
  <w:font w:name="迷你简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separate"/>
    </w:r>
    <w:r>
      <w:rPr>
        <w:rStyle w:val="19"/>
      </w:rPr>
      <w:t>23</w:t>
    </w:r>
    <w:r>
      <w:fldChar w:fldCharType="end"/>
    </w:r>
  </w:p>
  <w:p>
    <w:pPr>
      <w:pStyle w:val="12"/>
      <w:ind w:right="360"/>
    </w:pPr>
    <w:r>
      <w:rPr>
        <w:rFonts w:hint="eastAsia"/>
      </w:rPr>
      <w:t>9</w:t>
    </w:r>
  </w:p>
  <w:p>
    <w:r>
      <w:rPr>
        <w:sz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8024E"/>
    <w:multiLevelType w:val="singleLevel"/>
    <w:tmpl w:val="B758024E"/>
    <w:lvl w:ilvl="0" w:tentative="0">
      <w:start w:val="5"/>
      <w:numFmt w:val="chineseCounting"/>
      <w:suff w:val="space"/>
      <w:lvlText w:val="第%1章"/>
      <w:lvlJc w:val="left"/>
      <w:rPr>
        <w:rFonts w:hint="eastAsia"/>
      </w:rPr>
    </w:lvl>
  </w:abstractNum>
  <w:abstractNum w:abstractNumId="1">
    <w:nsid w:val="D548A92E"/>
    <w:multiLevelType w:val="singleLevel"/>
    <w:tmpl w:val="D548A92E"/>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03C8E21"/>
    <w:multiLevelType w:val="singleLevel"/>
    <w:tmpl w:val="503C8E21"/>
    <w:lvl w:ilvl="0" w:tentative="0">
      <w:start w:val="1"/>
      <w:numFmt w:val="decimal"/>
      <w:lvlText w:val="%1."/>
      <w:lvlJc w:val="left"/>
      <w:pPr>
        <w:tabs>
          <w:tab w:val="left" w:pos="312"/>
        </w:tabs>
      </w:pPr>
    </w:lvl>
  </w:abstractNum>
  <w:abstractNum w:abstractNumId="4">
    <w:nsid w:val="592E8903"/>
    <w:multiLevelType w:val="singleLevel"/>
    <w:tmpl w:val="592E8903"/>
    <w:lvl w:ilvl="0" w:tentative="0">
      <w:start w:val="1"/>
      <w:numFmt w:val="chineseCounting"/>
      <w:suff w:val="nothing"/>
      <w:lvlText w:val="%1、"/>
      <w:lvlJc w:val="left"/>
    </w:lvl>
  </w:abstractNum>
  <w:abstractNum w:abstractNumId="5">
    <w:nsid w:val="78689F48"/>
    <w:multiLevelType w:val="singleLevel"/>
    <w:tmpl w:val="78689F48"/>
    <w:lvl w:ilvl="0" w:tentative="0">
      <w:start w:val="4"/>
      <w:numFmt w:val="chineseCounting"/>
      <w:suff w:val="space"/>
      <w:lvlText w:val="第%1章"/>
      <w:lvlJc w:val="left"/>
      <w:rPr>
        <w:rFonts w:hint="eastAsia"/>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YjUwNGNhOWM1ODQzYTdkYWNjY2ZiMWM3OGM0MGIifQ=="/>
  </w:docVars>
  <w:rsids>
    <w:rsidRoot w:val="51FF0C3D"/>
    <w:rsid w:val="01F70506"/>
    <w:rsid w:val="03303652"/>
    <w:rsid w:val="044D727E"/>
    <w:rsid w:val="04664DF9"/>
    <w:rsid w:val="04AD1E95"/>
    <w:rsid w:val="055857E1"/>
    <w:rsid w:val="057D158E"/>
    <w:rsid w:val="062A55AB"/>
    <w:rsid w:val="07E77627"/>
    <w:rsid w:val="08CE5618"/>
    <w:rsid w:val="08CF557B"/>
    <w:rsid w:val="0A000315"/>
    <w:rsid w:val="0C474025"/>
    <w:rsid w:val="0C6329F0"/>
    <w:rsid w:val="0C7504F0"/>
    <w:rsid w:val="0EED7E64"/>
    <w:rsid w:val="0F280F62"/>
    <w:rsid w:val="102317E5"/>
    <w:rsid w:val="11851C0B"/>
    <w:rsid w:val="139D2038"/>
    <w:rsid w:val="147373CA"/>
    <w:rsid w:val="14FB646C"/>
    <w:rsid w:val="15436C2D"/>
    <w:rsid w:val="16D522BC"/>
    <w:rsid w:val="176932A7"/>
    <w:rsid w:val="1779470E"/>
    <w:rsid w:val="18563731"/>
    <w:rsid w:val="18DF2FE9"/>
    <w:rsid w:val="19676DB4"/>
    <w:rsid w:val="19852691"/>
    <w:rsid w:val="19995AA1"/>
    <w:rsid w:val="1A5F586B"/>
    <w:rsid w:val="1A676188"/>
    <w:rsid w:val="1FB341AF"/>
    <w:rsid w:val="22AF53B6"/>
    <w:rsid w:val="22B807C7"/>
    <w:rsid w:val="22F57543"/>
    <w:rsid w:val="24163B0E"/>
    <w:rsid w:val="24F83F0D"/>
    <w:rsid w:val="2536707D"/>
    <w:rsid w:val="257603F9"/>
    <w:rsid w:val="259F1015"/>
    <w:rsid w:val="26071CFA"/>
    <w:rsid w:val="27097645"/>
    <w:rsid w:val="28B44F4D"/>
    <w:rsid w:val="298910BA"/>
    <w:rsid w:val="29D36B2B"/>
    <w:rsid w:val="2A275946"/>
    <w:rsid w:val="2B2B0895"/>
    <w:rsid w:val="2BDF093C"/>
    <w:rsid w:val="2C0877E7"/>
    <w:rsid w:val="2CC94EB8"/>
    <w:rsid w:val="2D29396F"/>
    <w:rsid w:val="2D3F6232"/>
    <w:rsid w:val="2DA61DBA"/>
    <w:rsid w:val="2E21096F"/>
    <w:rsid w:val="2EA95815"/>
    <w:rsid w:val="2EDE6786"/>
    <w:rsid w:val="2FF8481B"/>
    <w:rsid w:val="31FF7875"/>
    <w:rsid w:val="322A641F"/>
    <w:rsid w:val="32F8434D"/>
    <w:rsid w:val="33A743E5"/>
    <w:rsid w:val="34371578"/>
    <w:rsid w:val="35F745D6"/>
    <w:rsid w:val="380D04CE"/>
    <w:rsid w:val="38267DA4"/>
    <w:rsid w:val="38F522DA"/>
    <w:rsid w:val="3AD30B79"/>
    <w:rsid w:val="3B8B7C9A"/>
    <w:rsid w:val="3BB51942"/>
    <w:rsid w:val="3BE70D63"/>
    <w:rsid w:val="3CBB45AF"/>
    <w:rsid w:val="44B33C4C"/>
    <w:rsid w:val="44B57E6A"/>
    <w:rsid w:val="44D7617C"/>
    <w:rsid w:val="450B2EEB"/>
    <w:rsid w:val="4581279A"/>
    <w:rsid w:val="45AC4026"/>
    <w:rsid w:val="465D3BA0"/>
    <w:rsid w:val="48E413A2"/>
    <w:rsid w:val="4BE50FE4"/>
    <w:rsid w:val="4EF55B07"/>
    <w:rsid w:val="51FF0C3D"/>
    <w:rsid w:val="52CE464A"/>
    <w:rsid w:val="55DA7B7B"/>
    <w:rsid w:val="57A82A27"/>
    <w:rsid w:val="57BA01DF"/>
    <w:rsid w:val="580016EB"/>
    <w:rsid w:val="59847CC5"/>
    <w:rsid w:val="598B5631"/>
    <w:rsid w:val="5BB54564"/>
    <w:rsid w:val="5D456FDA"/>
    <w:rsid w:val="5E850698"/>
    <w:rsid w:val="5F14318E"/>
    <w:rsid w:val="5FB12D9F"/>
    <w:rsid w:val="60726D6F"/>
    <w:rsid w:val="61613AA4"/>
    <w:rsid w:val="619B512E"/>
    <w:rsid w:val="645B5126"/>
    <w:rsid w:val="6474770A"/>
    <w:rsid w:val="66656B44"/>
    <w:rsid w:val="66682024"/>
    <w:rsid w:val="66D812FE"/>
    <w:rsid w:val="67AB0BF9"/>
    <w:rsid w:val="6BE40A92"/>
    <w:rsid w:val="6D251657"/>
    <w:rsid w:val="6DBF5E94"/>
    <w:rsid w:val="6DC62848"/>
    <w:rsid w:val="6E7824DD"/>
    <w:rsid w:val="6F2319BD"/>
    <w:rsid w:val="6FD81853"/>
    <w:rsid w:val="70E37655"/>
    <w:rsid w:val="711B7628"/>
    <w:rsid w:val="71891906"/>
    <w:rsid w:val="72177F88"/>
    <w:rsid w:val="77370D3A"/>
    <w:rsid w:val="7B6A4870"/>
    <w:rsid w:val="7CC0084B"/>
    <w:rsid w:val="7DB44E4E"/>
    <w:rsid w:val="7DD81F06"/>
    <w:rsid w:val="7E9A6C45"/>
    <w:rsid w:val="7EB64039"/>
    <w:rsid w:val="7F02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32"/>
    </w:rPr>
  </w:style>
  <w:style w:type="paragraph" w:styleId="5">
    <w:name w:val="heading 2"/>
    <w:basedOn w:val="1"/>
    <w:next w:val="1"/>
    <w:qFormat/>
    <w:uiPriority w:val="0"/>
    <w:pPr>
      <w:keepNext/>
      <w:keepLines/>
      <w:spacing w:before="260" w:after="260" w:line="500" w:lineRule="exact"/>
      <w:outlineLvl w:val="1"/>
    </w:pPr>
    <w:rPr>
      <w:rFonts w:ascii="Arial" w:hAnsi="Arial" w:eastAsia="黑体"/>
      <w:b/>
      <w:sz w:val="28"/>
    </w:rPr>
  </w:style>
  <w:style w:type="paragraph" w:styleId="6">
    <w:name w:val="heading 3"/>
    <w:basedOn w:val="1"/>
    <w:next w:val="7"/>
    <w:qFormat/>
    <w:uiPriority w:val="0"/>
    <w:pPr>
      <w:keepNext/>
      <w:keepLines/>
      <w:spacing w:before="260" w:after="260" w:line="413" w:lineRule="auto"/>
      <w:outlineLvl w:val="2"/>
    </w:pPr>
    <w:rPr>
      <w:b/>
      <w:sz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3">
    <w:name w:val="正文（绿盟科技）"/>
    <w:qFormat/>
    <w:uiPriority w:val="99"/>
    <w:pPr>
      <w:spacing w:line="300" w:lineRule="auto"/>
    </w:pPr>
    <w:rPr>
      <w:rFonts w:ascii="Arial" w:hAnsi="Arial" w:eastAsia="宋体" w:cs="Arial"/>
      <w:sz w:val="21"/>
      <w:szCs w:val="21"/>
      <w:lang w:val="en-US" w:eastAsia="zh-CN" w:bidi="ar-SA"/>
    </w:rPr>
  </w:style>
  <w:style w:type="paragraph" w:styleId="7">
    <w:name w:val="Normal Indent"/>
    <w:basedOn w:val="1"/>
    <w:qFormat/>
    <w:uiPriority w:val="0"/>
    <w:pPr>
      <w:ind w:firstLine="420"/>
    </w:pPr>
  </w:style>
  <w:style w:type="paragraph" w:styleId="8">
    <w:name w:val="Body Text Indent"/>
    <w:basedOn w:val="1"/>
    <w:qFormat/>
    <w:uiPriority w:val="0"/>
    <w:pPr>
      <w:ind w:firstLine="630"/>
    </w:pPr>
    <w:rPr>
      <w:sz w:val="32"/>
    </w:rPr>
  </w:style>
  <w:style w:type="paragraph" w:styleId="9">
    <w:name w:val="Plain Text"/>
    <w:basedOn w:val="1"/>
    <w:qFormat/>
    <w:uiPriority w:val="99"/>
    <w:rPr>
      <w:rFonts w:ascii="宋体" w:hAnsi="Courier New"/>
    </w:rPr>
  </w:style>
  <w:style w:type="paragraph" w:styleId="10">
    <w:name w:val="Date"/>
    <w:basedOn w:val="1"/>
    <w:next w:val="1"/>
    <w:qFormat/>
    <w:uiPriority w:val="0"/>
    <w:rPr>
      <w:rFonts w:eastAsia="黑体"/>
      <w:sz w:val="36"/>
    </w:rPr>
  </w:style>
  <w:style w:type="paragraph" w:styleId="11">
    <w:name w:val="Body Text Indent 2"/>
    <w:basedOn w:val="1"/>
    <w:qFormat/>
    <w:uiPriority w:val="0"/>
    <w:pPr>
      <w:ind w:firstLine="630"/>
    </w:pPr>
    <w:rPr>
      <w:sz w:val="32"/>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99"/>
    <w:pPr>
      <w:tabs>
        <w:tab w:val="center" w:pos="4153"/>
        <w:tab w:val="right" w:pos="8306"/>
      </w:tabs>
      <w:snapToGrid w:val="0"/>
      <w:jc w:val="left"/>
    </w:pPr>
    <w:rPr>
      <w:rFonts w:ascii="宋体" w:hAnsi="宋体"/>
      <w:sz w:val="18"/>
    </w:rPr>
  </w:style>
  <w:style w:type="paragraph" w:styleId="14">
    <w:name w:val="toc 1"/>
    <w:basedOn w:val="1"/>
    <w:next w:val="1"/>
    <w:qFormat/>
    <w:uiPriority w:val="39"/>
    <w:pPr>
      <w:tabs>
        <w:tab w:val="right" w:leader="dot" w:pos="8398"/>
      </w:tabs>
      <w:spacing w:before="120" w:after="120"/>
      <w:ind w:firstLine="240" w:firstLineChars="100"/>
      <w:jc w:val="left"/>
    </w:pPr>
    <w:rPr>
      <w:rFonts w:ascii="宋体" w:hAnsi="宋体"/>
      <w:b/>
      <w:caps/>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18"/>
    </w:rPr>
  </w:style>
  <w:style w:type="paragraph" w:styleId="16">
    <w:name w:val="Title"/>
    <w:basedOn w:val="1"/>
    <w:next w:val="1"/>
    <w:qFormat/>
    <w:uiPriority w:val="0"/>
    <w:pPr>
      <w:spacing w:before="240" w:after="60"/>
      <w:jc w:val="center"/>
      <w:outlineLvl w:val="0"/>
    </w:pPr>
    <w:rPr>
      <w:rFonts w:ascii="Cambria" w:hAnsi="Cambria"/>
      <w:b/>
      <w:bCs/>
      <w:kern w:val="0"/>
    </w:rPr>
  </w:style>
  <w:style w:type="character" w:styleId="19">
    <w:name w:val="page number"/>
    <w:basedOn w:val="18"/>
    <w:qFormat/>
    <w:uiPriority w:val="0"/>
  </w:style>
  <w:style w:type="character" w:styleId="20">
    <w:name w:val="Hyperlink"/>
    <w:qFormat/>
    <w:uiPriority w:val="99"/>
    <w:rPr>
      <w:color w:val="0000FF"/>
      <w:u w:val="single"/>
    </w:rPr>
  </w:style>
  <w:style w:type="character" w:customStyle="1" w:styleId="21">
    <w:name w:val="fontstyle01"/>
    <w:basedOn w:val="18"/>
    <w:qFormat/>
    <w:uiPriority w:val="0"/>
    <w:rPr>
      <w:rFonts w:ascii="仿宋_GB2312" w:eastAsia="仿宋_GB2312" w:cs="仿宋_GB2312"/>
      <w:color w:val="000000"/>
      <w:sz w:val="32"/>
      <w:szCs w:val="32"/>
    </w:rPr>
  </w:style>
  <w:style w:type="paragraph" w:customStyle="1" w:styleId="22">
    <w:name w:val="样式1"/>
    <w:basedOn w:val="1"/>
    <w:qFormat/>
    <w:uiPriority w:val="0"/>
    <w:pPr>
      <w:adjustRightInd w:val="0"/>
      <w:textAlignment w:val="baseline"/>
    </w:pPr>
    <w:rPr>
      <w:rFonts w:ascii="宋体" w:hAnsi="宋体"/>
      <w:kern w:val="0"/>
      <w:szCs w:val="21"/>
    </w:rPr>
  </w:style>
  <w:style w:type="paragraph" w:customStyle="1" w:styleId="23">
    <w:name w:val="Table Paragraph"/>
    <w:basedOn w:val="1"/>
    <w:qFormat/>
    <w:uiPriority w:val="1"/>
  </w:style>
  <w:style w:type="paragraph" w:customStyle="1" w:styleId="24">
    <w:name w:val="样式 标题 2 + Times New Roman 四号 非加粗 段前: 5 磅 段后: 0 磅 行距: 固定值 20..."/>
    <w:basedOn w:val="5"/>
    <w:qFormat/>
    <w:uiPriority w:val="0"/>
    <w:pPr>
      <w:spacing w:before="100" w:after="0" w:line="400" w:lineRule="exact"/>
    </w:pPr>
    <w:rPr>
      <w:rFonts w:ascii="Times New Roman" w:hAnsi="Times New Roman"/>
      <w:b w:val="0"/>
      <w:kern w:val="0"/>
    </w:rPr>
  </w:style>
  <w:style w:type="paragraph" w:customStyle="1" w:styleId="25">
    <w:name w:val="正文 New New New New New New"/>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26">
    <w:name w:val="msonormal msonormal"/>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20818</Words>
  <Characters>22220</Characters>
  <Lines>0</Lines>
  <Paragraphs>0</Paragraphs>
  <TotalTime>11</TotalTime>
  <ScaleCrop>false</ScaleCrop>
  <LinksUpToDate>false</LinksUpToDate>
  <CharactersWithSpaces>24576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2021-03-24T02:03:00Z</dcterms:created>
  <dc:creator>martina_liang@163.com</dc:creator>
  <cp:lastModifiedBy>洪洁</cp:lastModifiedBy>
  <dcterms:modified xsi:type="dcterms:W3CDTF">2022-05-11T03:01:46Z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E6F9F49F3F904B0281532A2347D0C2D7</vt:lpwstr>
  </property>
</Properties>
</file>