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采购编号：</w:t>
      </w:r>
      <w:r>
        <w:rPr>
          <w:rFonts w:hint="eastAsia" w:ascii="宋体" w:hAnsi="宋体" w:cs="宋体"/>
          <w:b/>
          <w:sz w:val="28"/>
          <w:szCs w:val="28"/>
          <w:highlight w:val="none"/>
          <w:lang w:val="en-US" w:eastAsia="zh-CN"/>
        </w:rPr>
        <w:t xml:space="preserve">GYRJ-2022-QT-22   </w:t>
      </w:r>
    </w:p>
    <w:p>
      <w:pPr>
        <w:spacing w:line="288" w:lineRule="auto"/>
        <w:rPr>
          <w:rFonts w:ascii="宋体" w:hAnsi="宋体" w:cs="宋体"/>
          <w:b/>
          <w:sz w:val="28"/>
          <w:szCs w:val="28"/>
          <w:highlight w:val="none"/>
        </w:rPr>
      </w:pPr>
    </w:p>
    <w:p>
      <w:pPr>
        <w:spacing w:line="288" w:lineRule="auto"/>
        <w:jc w:val="center"/>
        <w:rPr>
          <w:rFonts w:hint="eastAsia" w:ascii="宋体" w:hAnsi="宋体" w:cs="宋体"/>
          <w:b/>
          <w:sz w:val="52"/>
          <w:szCs w:val="52"/>
          <w:highlight w:val="none"/>
          <w:lang w:eastAsia="zh-CN"/>
        </w:rPr>
      </w:pPr>
    </w:p>
    <w:p>
      <w:pPr>
        <w:spacing w:line="288" w:lineRule="auto"/>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四川能投广元燃气发电有限公司</w:t>
      </w:r>
    </w:p>
    <w:p>
      <w:pPr>
        <w:spacing w:line="288" w:lineRule="auto"/>
        <w:jc w:val="center"/>
        <w:rPr>
          <w:rFonts w:hint="default" w:ascii="方正小标宋简体" w:hAnsi="方正小标宋简体" w:eastAsia="方正小标宋简体" w:cs="方正小标宋简体"/>
          <w:b w:val="0"/>
          <w:bCs/>
          <w:sz w:val="44"/>
          <w:szCs w:val="44"/>
          <w:highlight w:val="none"/>
          <w:lang w:val="en-US"/>
        </w:rPr>
      </w:pPr>
      <w:r>
        <w:rPr>
          <w:rFonts w:hint="eastAsia" w:ascii="方正小标宋简体" w:hAnsi="方正小标宋简体" w:eastAsia="方正小标宋简体" w:cs="方正小标宋简体"/>
          <w:b w:val="0"/>
          <w:bCs/>
          <w:sz w:val="44"/>
          <w:szCs w:val="44"/>
          <w:highlight w:val="none"/>
          <w:lang w:val="en-US" w:eastAsia="zh-CN"/>
        </w:rPr>
        <w:t>2022年度补充医疗保险服务机构选聘项目</w:t>
      </w:r>
    </w:p>
    <w:p>
      <w:pPr>
        <w:pStyle w:val="22"/>
        <w:rPr>
          <w:highlight w:val="none"/>
        </w:rPr>
      </w:pPr>
    </w:p>
    <w:p>
      <w:pPr>
        <w:spacing w:line="288" w:lineRule="auto"/>
        <w:jc w:val="center"/>
        <w:rPr>
          <w:rFonts w:hint="eastAsia" w:ascii="宋体" w:hAnsi="宋体" w:cs="宋体"/>
          <w:b/>
          <w:sz w:val="52"/>
          <w:szCs w:val="52"/>
          <w:highlight w:val="none"/>
        </w:rPr>
      </w:pP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竞</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争</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性</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谈</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判</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文</w:t>
      </w:r>
    </w:p>
    <w:p>
      <w:pPr>
        <w:spacing w:line="288" w:lineRule="auto"/>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件</w:t>
      </w:r>
    </w:p>
    <w:p>
      <w:pPr>
        <w:spacing w:line="288" w:lineRule="auto"/>
        <w:jc w:val="center"/>
        <w:rPr>
          <w:rFonts w:ascii="宋体" w:hAnsi="宋体" w:cs="宋体"/>
          <w:b/>
          <w:sz w:val="28"/>
          <w:szCs w:val="28"/>
          <w:highlight w:val="none"/>
        </w:rPr>
      </w:pPr>
    </w:p>
    <w:p>
      <w:pPr>
        <w:spacing w:line="288" w:lineRule="auto"/>
        <w:jc w:val="center"/>
        <w:rPr>
          <w:rFonts w:ascii="宋体" w:hAnsi="宋体" w:cs="宋体"/>
          <w:b/>
          <w:sz w:val="28"/>
          <w:szCs w:val="28"/>
          <w:highlight w:val="none"/>
        </w:rPr>
      </w:pPr>
    </w:p>
    <w:p>
      <w:pPr>
        <w:spacing w:line="288" w:lineRule="auto"/>
        <w:ind w:firstLine="720" w:firstLineChars="200"/>
        <w:jc w:val="center"/>
        <w:rPr>
          <w:rFonts w:hint="default" w:ascii="宋体" w:hAnsi="宋体" w:cs="宋体"/>
          <w:sz w:val="36"/>
          <w:szCs w:val="36"/>
          <w:highlight w:val="none"/>
          <w:lang w:val="en-US" w:eastAsia="zh-CN"/>
        </w:rPr>
      </w:pPr>
      <w:r>
        <w:rPr>
          <w:rFonts w:hint="eastAsia" w:ascii="宋体" w:hAnsi="宋体" w:cs="宋体"/>
          <w:sz w:val="36"/>
          <w:szCs w:val="36"/>
          <w:highlight w:val="none"/>
          <w:lang w:val="en-US" w:eastAsia="zh-CN"/>
        </w:rPr>
        <w:t>采购人：四川能投广元燃气发电有限公司</w:t>
      </w:r>
    </w:p>
    <w:p>
      <w:pPr>
        <w:spacing w:line="288" w:lineRule="auto"/>
        <w:jc w:val="center"/>
        <w:rPr>
          <w:rFonts w:hint="eastAsia" w:ascii="宋体" w:hAnsi="宋体" w:cs="宋体"/>
          <w:sz w:val="28"/>
          <w:szCs w:val="28"/>
          <w:highlight w:val="none"/>
        </w:rPr>
      </w:pPr>
    </w:p>
    <w:p>
      <w:pPr>
        <w:spacing w:line="288" w:lineRule="auto"/>
        <w:ind w:firstLine="720" w:firstLineChars="200"/>
        <w:jc w:val="center"/>
        <w:rPr>
          <w:rFonts w:hint="default" w:ascii="宋体" w:hAnsi="宋体" w:cs="宋体"/>
          <w:bCs/>
          <w:sz w:val="36"/>
          <w:szCs w:val="36"/>
          <w:highlight w:val="none"/>
          <w:lang w:val="en-US" w:eastAsia="zh-CN"/>
        </w:rPr>
      </w:pPr>
      <w:r>
        <w:rPr>
          <w:rFonts w:hint="eastAsia" w:ascii="宋体" w:hAnsi="宋体" w:cs="宋体"/>
          <w:bCs/>
          <w:sz w:val="36"/>
          <w:szCs w:val="36"/>
          <w:highlight w:val="none"/>
          <w:lang w:val="en-US" w:eastAsia="zh-CN"/>
        </w:rPr>
        <w:t>时  间： 2022  年  10  月</w:t>
      </w:r>
    </w:p>
    <w:p>
      <w:pPr>
        <w:spacing w:line="288" w:lineRule="auto"/>
        <w:jc w:val="center"/>
        <w:rPr>
          <w:rFonts w:ascii="宋体" w:hAnsi="宋体" w:cs="宋体"/>
          <w:b/>
          <w:bCs/>
          <w:sz w:val="28"/>
          <w:szCs w:val="28"/>
          <w:highlight w:val="none"/>
          <w:lang w:val="zh-CN"/>
        </w:rPr>
      </w:pPr>
    </w:p>
    <w:p>
      <w:pPr>
        <w:spacing w:line="288" w:lineRule="auto"/>
        <w:rPr>
          <w:rFonts w:ascii="宋体" w:hAnsi="宋体" w:cs="宋体"/>
          <w:sz w:val="28"/>
          <w:szCs w:val="28"/>
          <w:highlight w:val="none"/>
        </w:rPr>
      </w:pPr>
    </w:p>
    <w:p>
      <w:pPr>
        <w:spacing w:line="288" w:lineRule="auto"/>
        <w:rPr>
          <w:rFonts w:ascii="宋体" w:hAnsi="宋体" w:cs="宋体"/>
          <w:sz w:val="28"/>
          <w:szCs w:val="28"/>
          <w:highlight w:val="none"/>
        </w:rPr>
        <w:sectPr>
          <w:headerReference r:id="rId3" w:type="default"/>
          <w:footerReference r:id="rId4" w:type="even"/>
          <w:pgSz w:w="11907" w:h="16840"/>
          <w:pgMar w:top="1440" w:right="1474" w:bottom="1440" w:left="1800" w:header="851" w:footer="992" w:gutter="0"/>
          <w:pgNumType w:fmt="decimal" w:start="1"/>
          <w:cols w:space="720" w:num="1"/>
          <w:titlePg/>
          <w:docGrid w:linePitch="312" w:charSpace="0"/>
        </w:sectPr>
      </w:pPr>
    </w:p>
    <w:p>
      <w:pPr>
        <w:spacing w:before="0" w:beforeLines="0" w:after="0" w:afterLines="0" w:line="240" w:lineRule="auto"/>
        <w:ind w:left="0" w:leftChars="0" w:right="0" w:rightChars="0" w:firstLine="0" w:firstLineChars="0"/>
        <w:jc w:val="center"/>
        <w:rPr>
          <w:rFonts w:ascii="宋体" w:hAnsi="宋体" w:eastAsia="宋体" w:cs="Times New Roman"/>
          <w:kern w:val="2"/>
          <w:sz w:val="36"/>
          <w:szCs w:val="36"/>
          <w:highlight w:val="none"/>
          <w:lang w:val="en-US" w:eastAsia="zh-CN" w:bidi="ar-SA"/>
        </w:rPr>
        <w:sectPr>
          <w:footerReference r:id="rId9" w:type="first"/>
          <w:headerReference r:id="rId5" w:type="default"/>
          <w:footerReference r:id="rId7" w:type="default"/>
          <w:headerReference r:id="rId6" w:type="even"/>
          <w:footerReference r:id="rId8" w:type="even"/>
          <w:type w:val="continuous"/>
          <w:pgSz w:w="11907" w:h="16840"/>
          <w:pgMar w:top="1440" w:right="1474" w:bottom="1440" w:left="1474" w:header="851" w:footer="992" w:gutter="0"/>
          <w:pgNumType w:fmt="decimal"/>
          <w:cols w:space="720" w:num="1"/>
          <w:docGrid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16448"/>
      <w:bookmarkStart w:id="1" w:name="_Toc70257520"/>
      <w:bookmarkStart w:id="2" w:name="_Toc28959"/>
      <w:r>
        <w:rPr>
          <w:rFonts w:hint="eastAsia" w:ascii="黑体" w:hAnsi="黑体" w:eastAsia="黑体" w:cs="黑体"/>
          <w:sz w:val="32"/>
          <w:szCs w:val="32"/>
        </w:rPr>
        <w:t>目录</w:t>
      </w:r>
    </w:p>
    <w:p>
      <w:pPr>
        <w:pStyle w:val="23"/>
        <w:tabs>
          <w:tab w:val="right" w:leader="dot" w:pos="8959"/>
        </w:tabs>
        <w:rPr>
          <w:rFonts w:hint="eastAsia" w:ascii="楷体_GB2312" w:hAnsi="楷体_GB2312" w:eastAsia="楷体_GB2312" w:cs="楷体_GB2312"/>
          <w:sz w:val="28"/>
          <w:szCs w:val="28"/>
        </w:rPr>
      </w:pPr>
      <w:r>
        <w:fldChar w:fldCharType="begin"/>
      </w:r>
      <w:r>
        <w:instrText xml:space="preserve">TOC \o "1-1" \h \u </w:instrText>
      </w:r>
      <w:r>
        <w:fldChar w:fldCharType="separate"/>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_Toc30892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val="0"/>
          <w:sz w:val="28"/>
          <w:szCs w:val="28"/>
          <w:highlight w:val="none"/>
        </w:rPr>
        <w:t xml:space="preserve">第一章  </w:t>
      </w:r>
      <w:r>
        <w:rPr>
          <w:rFonts w:hint="eastAsia" w:ascii="楷体_GB2312" w:hAnsi="楷体_GB2312" w:eastAsia="楷体_GB2312" w:cs="楷体_GB2312"/>
          <w:bCs w:val="0"/>
          <w:sz w:val="28"/>
          <w:szCs w:val="28"/>
          <w:highlight w:val="none"/>
          <w:lang w:val="en-US" w:eastAsia="zh-CN"/>
        </w:rPr>
        <w:t>竞争性谈判公告</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_Toc30892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23"/>
        <w:tabs>
          <w:tab w:val="right" w:leader="dot" w:pos="8959"/>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_Toc26875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val="0"/>
          <w:sz w:val="28"/>
          <w:szCs w:val="28"/>
          <w:highlight w:val="none"/>
        </w:rPr>
        <w:t>第二章  谈判须知</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fldChar w:fldCharType="end"/>
      </w:r>
    </w:p>
    <w:p>
      <w:pPr>
        <w:pStyle w:val="23"/>
        <w:tabs>
          <w:tab w:val="right" w:leader="dot" w:pos="8959"/>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_Toc29951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val="0"/>
          <w:kern w:val="2"/>
          <w:sz w:val="28"/>
          <w:szCs w:val="28"/>
          <w:highlight w:val="none"/>
          <w:lang w:val="en-US" w:eastAsia="zh-CN" w:bidi="ar-SA"/>
        </w:rPr>
        <w:t>第三章  评审办法</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_Toc29951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lang w:val="en-US" w:eastAsia="zh-CN"/>
        </w:rPr>
        <w:t>4</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23"/>
        <w:tabs>
          <w:tab w:val="right" w:leader="dot" w:pos="8959"/>
        </w:tabs>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_Toc31951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val="0"/>
          <w:sz w:val="28"/>
          <w:szCs w:val="28"/>
          <w:highlight w:val="none"/>
          <w:lang w:val="en-US" w:eastAsia="zh-CN"/>
        </w:rPr>
        <w:t>第四章  合同条款及格式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_Toc31951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lang w:val="en-US" w:eastAsia="zh-CN"/>
        </w:rPr>
        <w:t>8</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pStyle w:val="23"/>
        <w:tabs>
          <w:tab w:val="right" w:leader="dot" w:pos="8959"/>
        </w:tabs>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HYPERLINK \l _Toc22968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bCs w:val="0"/>
          <w:kern w:val="2"/>
          <w:sz w:val="28"/>
          <w:szCs w:val="28"/>
          <w:highlight w:val="none"/>
          <w:lang w:val="en-US" w:eastAsia="zh-CN" w:bidi="ar-SA"/>
        </w:rPr>
        <w:t>第五章  响应文件格式</w:t>
      </w:r>
      <w:r>
        <w:rPr>
          <w:rFonts w:hint="eastAsia" w:ascii="楷体_GB2312" w:hAnsi="楷体_GB2312" w:eastAsia="楷体_GB2312" w:cs="楷体_GB2312"/>
          <w:sz w:val="28"/>
          <w:szCs w:val="28"/>
        </w:rPr>
        <w:tab/>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PAGEREF _Toc22968 \h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lang w:val="en-US" w:eastAsia="zh-CN"/>
        </w:rPr>
        <w:t>6</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fldChar w:fldCharType="end"/>
      </w:r>
    </w:p>
    <w:p>
      <w:pPr>
        <w:jc w:val="center"/>
        <w:sectPr>
          <w:footerReference r:id="rId10" w:type="default"/>
          <w:pgSz w:w="11907" w:h="16840"/>
          <w:pgMar w:top="1440" w:right="1474" w:bottom="1440" w:left="1474" w:header="851" w:footer="992" w:gutter="0"/>
          <w:pgNumType w:fmt="decimal" w:start="1"/>
          <w:cols w:space="720" w:num="1"/>
          <w:docGrid w:linePitch="312" w:charSpace="0"/>
        </w:sectPr>
      </w:pPr>
    </w:p>
    <w:p>
      <w:pPr>
        <w:jc w:val="center"/>
        <w:rPr>
          <w:rFonts w:hint="eastAsia" w:ascii="方正小标宋简体" w:hAnsi="方正小标宋简体" w:eastAsia="方正小标宋简体" w:cs="方正小标宋简体"/>
          <w:b w:val="0"/>
          <w:bCs w:val="0"/>
          <w:sz w:val="36"/>
          <w:szCs w:val="36"/>
          <w:highlight w:val="none"/>
          <w:lang w:val="en-US" w:eastAsia="zh-CN"/>
        </w:rPr>
      </w:pPr>
      <w:r>
        <w:fldChar w:fldCharType="end"/>
      </w:r>
      <w:bookmarkStart w:id="3" w:name="_Toc30892"/>
      <w:r>
        <w:rPr>
          <w:rFonts w:hint="eastAsia" w:ascii="方正小标宋简体" w:hAnsi="方正小标宋简体" w:eastAsia="方正小标宋简体" w:cs="方正小标宋简体"/>
          <w:b w:val="0"/>
          <w:bCs w:val="0"/>
          <w:sz w:val="36"/>
          <w:szCs w:val="36"/>
          <w:highlight w:val="none"/>
        </w:rPr>
        <w:t xml:space="preserve">第一章  </w:t>
      </w:r>
      <w:r>
        <w:rPr>
          <w:rFonts w:hint="eastAsia" w:ascii="方正小标宋简体" w:hAnsi="方正小标宋简体" w:eastAsia="方正小标宋简体" w:cs="方正小标宋简体"/>
          <w:b w:val="0"/>
          <w:bCs w:val="0"/>
          <w:sz w:val="36"/>
          <w:szCs w:val="36"/>
          <w:highlight w:val="none"/>
          <w:lang w:val="en-US" w:eastAsia="zh-CN"/>
        </w:rPr>
        <w:t>竞争性</w:t>
      </w:r>
      <w:r>
        <w:rPr>
          <w:rFonts w:hint="eastAsia" w:ascii="方正小标宋简体" w:hAnsi="方正小标宋简体" w:eastAsia="方正小标宋简体" w:cs="方正小标宋简体"/>
          <w:b w:val="0"/>
          <w:bCs w:val="0"/>
          <w:sz w:val="36"/>
          <w:szCs w:val="36"/>
          <w:highlight w:val="none"/>
        </w:rPr>
        <w:t>谈判</w:t>
      </w:r>
      <w:bookmarkEnd w:id="0"/>
      <w:bookmarkEnd w:id="1"/>
      <w:bookmarkEnd w:id="2"/>
      <w:bookmarkEnd w:id="3"/>
      <w:r>
        <w:rPr>
          <w:rFonts w:hint="eastAsia" w:ascii="方正小标宋简体" w:hAnsi="方正小标宋简体" w:eastAsia="方正小标宋简体" w:cs="方正小标宋简体"/>
          <w:b w:val="0"/>
          <w:bCs w:val="0"/>
          <w:sz w:val="36"/>
          <w:szCs w:val="36"/>
          <w:highlight w:val="none"/>
          <w:lang w:val="en-US" w:eastAsia="zh-CN"/>
        </w:rPr>
        <w:t>公告</w:t>
      </w:r>
    </w:p>
    <w:p>
      <w:pPr>
        <w:pStyle w:val="6"/>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宋体" w:hAnsi="宋体" w:cs="宋体"/>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lang w:val="en-US" w:eastAsia="zh-CN"/>
        </w:rPr>
        <w:t>四川能投广元燃气发电有限公司</w:t>
      </w:r>
      <w:bookmarkStart w:id="4" w:name="PO_默认文件内容_1"/>
      <w:r>
        <w:rPr>
          <w:rFonts w:hint="eastAsia" w:ascii="仿宋_GB2312" w:hAnsi="仿宋_GB2312" w:eastAsia="仿宋_GB2312" w:cs="仿宋_GB2312"/>
          <w:sz w:val="28"/>
          <w:szCs w:val="28"/>
          <w:highlight w:val="none"/>
          <w:u w:val="none"/>
          <w:lang w:val="en-US" w:eastAsia="zh-CN"/>
        </w:rPr>
        <w:t>拟</w:t>
      </w:r>
      <w:r>
        <w:rPr>
          <w:rFonts w:hint="eastAsia" w:ascii="仿宋_GB2312" w:hAnsi="仿宋_GB2312" w:eastAsia="仿宋_GB2312" w:cs="仿宋_GB2312"/>
          <w:sz w:val="28"/>
          <w:szCs w:val="28"/>
          <w:highlight w:val="none"/>
          <w:lang w:val="en-US" w:eastAsia="zh-CN"/>
        </w:rPr>
        <w:t>采用竞争性谈判方式选聘</w:t>
      </w:r>
      <w:r>
        <w:rPr>
          <w:rFonts w:hint="eastAsia" w:ascii="仿宋_GB2312" w:hAnsi="仿宋_GB2312" w:eastAsia="仿宋_GB2312" w:cs="仿宋_GB2312"/>
          <w:sz w:val="28"/>
          <w:szCs w:val="28"/>
          <w:highlight w:val="none"/>
          <w:u w:val="single"/>
          <w:lang w:val="en-US" w:eastAsia="zh-CN"/>
        </w:rPr>
        <w:t>2022年度团体补充医疗保险服务</w:t>
      </w:r>
      <w:r>
        <w:rPr>
          <w:rFonts w:hint="eastAsia" w:ascii="仿宋_GB2312" w:hAnsi="仿宋_GB2312" w:eastAsia="仿宋_GB2312" w:cs="仿宋_GB2312"/>
          <w:sz w:val="28"/>
          <w:szCs w:val="28"/>
          <w:highlight w:val="none"/>
          <w:u w:val="none"/>
          <w:lang w:val="en-US" w:eastAsia="zh-CN"/>
        </w:rPr>
        <w:t>单位</w:t>
      </w:r>
      <w:r>
        <w:rPr>
          <w:rFonts w:hint="eastAsia" w:ascii="仿宋_GB2312" w:hAnsi="仿宋_GB2312" w:eastAsia="仿宋_GB2312" w:cs="仿宋_GB2312"/>
          <w:sz w:val="28"/>
          <w:szCs w:val="28"/>
          <w:highlight w:val="none"/>
          <w:lang w:eastAsia="zh-CN"/>
        </w:rPr>
        <w:t>，</w:t>
      </w:r>
      <w:bookmarkEnd w:id="4"/>
      <w:r>
        <w:rPr>
          <w:rFonts w:hint="eastAsia" w:ascii="仿宋_GB2312" w:hAnsi="仿宋_GB2312" w:eastAsia="仿宋_GB2312" w:cs="仿宋_GB2312"/>
          <w:sz w:val="28"/>
          <w:szCs w:val="28"/>
          <w:highlight w:val="none"/>
          <w:lang w:eastAsia="zh-CN"/>
        </w:rPr>
        <w:t>欢迎符合本项目资格条件的潜在响应人参与谈判。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sz w:val="28"/>
          <w:szCs w:val="28"/>
          <w:highlight w:val="none"/>
        </w:rPr>
      </w:pPr>
      <w:bookmarkStart w:id="5" w:name="_Toc6837"/>
      <w:r>
        <w:rPr>
          <w:rFonts w:hint="eastAsia" w:ascii="黑体" w:hAnsi="黑体" w:eastAsia="黑体" w:cs="黑体"/>
          <w:sz w:val="28"/>
          <w:szCs w:val="28"/>
          <w:highlight w:val="none"/>
        </w:rPr>
        <w:t>一、采购项目基本情况</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一）</w:t>
      </w:r>
      <w:r>
        <w:rPr>
          <w:rFonts w:hint="eastAsia" w:ascii="楷体_GB2312" w:hAnsi="楷体_GB2312" w:eastAsia="楷体_GB2312" w:cs="楷体_GB2312"/>
          <w:sz w:val="28"/>
          <w:szCs w:val="28"/>
          <w:highlight w:val="none"/>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2022年度团体补充医疗保险服务机构选聘项目。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val="en-US" w:eastAsia="zh-CN"/>
        </w:rPr>
        <w:t>（二）</w:t>
      </w:r>
      <w:r>
        <w:rPr>
          <w:rFonts w:hint="eastAsia" w:ascii="楷体_GB2312" w:hAnsi="楷体_GB2312" w:eastAsia="楷体_GB2312" w:cs="楷体_GB2312"/>
          <w:sz w:val="28"/>
          <w:szCs w:val="28"/>
          <w:highlight w:val="none"/>
          <w:lang w:eastAsia="zh-CN"/>
        </w:rPr>
        <w:t>资金来源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本项目资金来源为采购人自筹。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（三）工作内容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完成（自合同签订后一个周期年内）以下约定保险服务和健康委托管理服务：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1.补充医疗保险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（1）28人交通意外伤害保险：航空（100万）、私家车（20万）、轨道（40万/人）、4、轮船（40万/人）、公共汽车（20万/人）、国家定义的网约车或出租车（20万/人）。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（2）重大疾病、定期寿险、意外身故、意外残疾、意外伤害医疗保险、门诊急诊医疗、疾病住院补充医疗保险、住院津贴（意外、疾病）、其他项目自行增加行数（详见合同）。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2.健康委托管理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保险金额为17.08万元。保障范围包括：员工据实发生的门诊医疗费用的补充报销；员工住院医疗费用社保报销余额部分的补充报销；特殊疾病门诊的补充报销；还包括药店购药、医疗器械、口腔医疗和卫生、眼部卫生、康复治疗、中医理疗等项目的费用报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（四）采购控制价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本项目采购控制价为人民币21.61万元。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（五）服务周期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合同签订生效后一年。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hint="eastAsia" w:ascii="黑体" w:hAnsi="黑体" w:eastAsia="黑体" w:cs="黑体"/>
          <w:sz w:val="28"/>
          <w:szCs w:val="28"/>
          <w:highlight w:val="none"/>
        </w:rPr>
      </w:pPr>
      <w:bookmarkStart w:id="6" w:name="_Toc22508"/>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rPr>
        <w:t>、响应人参加本次竞争性谈判应具备下列条件</w:t>
      </w:r>
      <w:bookmarkEnd w:id="6"/>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bookmarkStart w:id="7" w:name="PO_供应商资格条件_1"/>
      <w:r>
        <w:rPr>
          <w:rFonts w:hint="eastAsia" w:ascii="楷体_GB2312" w:hAnsi="楷体_GB2312" w:eastAsia="楷体_GB2312" w:cs="楷体_GB2312"/>
          <w:sz w:val="28"/>
          <w:szCs w:val="28"/>
          <w:highlight w:val="none"/>
          <w:lang w:val="en-US" w:eastAsia="zh-CN"/>
        </w:rPr>
        <w:t>（一）一般要求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1.响应人必须为中国境内设立有民事行为能力和承担民事责任的公司；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2.经营范围中具有保险业务，具有履行合同所必需的设备和专业技术能力；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3.参加此项采购活动前三年内，在经营活动中没有重大违法、违规记录；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未被市场监督管理机关在国家企业信用信息公示系统中列入严重违法失信企业名单，未被“信用中国”网站（www.creditchina.gov.cn）或各级信用信息共享平台中列入失信被执行人名单（提供信用中国网站截图并提交承诺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bookmarkStart w:id="270" w:name="_GoBack"/>
      <w:bookmarkEnd w:id="270"/>
      <w:r>
        <w:rPr>
          <w:rFonts w:hint="eastAsia" w:ascii="仿宋_GB2312" w:hAnsi="仿宋_GB2312" w:eastAsia="仿宋_GB2312" w:cs="仿宋_GB2312"/>
          <w:sz w:val="28"/>
          <w:szCs w:val="28"/>
          <w:highlight w:val="none"/>
          <w:lang w:val="en-US" w:eastAsia="zh-CN"/>
        </w:rPr>
        <w:t>.法律、行政法规规定的其他条件。</w:t>
      </w:r>
    </w:p>
    <w:bookmarkEnd w:id="7"/>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（二）资格要求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业绩要求：2019年1月1日至谈判截止日至，至少具有1项类似企业补充医疗保险承保业绩，并提供业绩保单复印件和相关主要资料。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1.投标人在最近3年内没有骗取中标、严重违约的情况；不存在尚未了结的重大诉讼、仲裁案件。（承诺）</w:t>
      </w:r>
    </w:p>
    <w:p>
      <w:pPr>
        <w:keepNext w:val="0"/>
        <w:keepLines w:val="0"/>
        <w:pageBreakBefore w:val="0"/>
        <w:widowControl w:val="0"/>
        <w:kinsoku/>
        <w:wordWrap/>
        <w:overflowPunct/>
        <w:topLinePunct w:val="0"/>
        <w:autoSpaceDE/>
        <w:autoSpaceDN/>
        <w:bidi w:val="0"/>
        <w:adjustRightInd/>
        <w:spacing w:line="560" w:lineRule="exact"/>
        <w:ind w:firstLine="560" w:firstLineChars="200"/>
        <w:jc w:val="both"/>
        <w:textAlignment w:val="auto"/>
        <w:outlineLvl w:val="1"/>
        <w:rPr>
          <w:rFonts w:hint="default" w:ascii="黑体" w:hAnsi="黑体" w:eastAsia="黑体" w:cs="黑体"/>
          <w:b w:val="0"/>
          <w:bCs w:val="0"/>
          <w:spacing w:val="10"/>
          <w:sz w:val="28"/>
          <w:szCs w:val="28"/>
          <w:highlight w:val="none"/>
          <w:lang w:val="en-US" w:eastAsia="zh-CN"/>
        </w:rPr>
      </w:pPr>
      <w:bookmarkStart w:id="8" w:name="_Toc14129"/>
      <w:r>
        <w:rPr>
          <w:rFonts w:hint="eastAsia" w:ascii="黑体" w:hAnsi="黑体" w:eastAsia="黑体" w:cs="黑体"/>
          <w:b w:val="0"/>
          <w:bCs w:val="0"/>
          <w:sz w:val="28"/>
          <w:szCs w:val="28"/>
          <w:highlight w:val="none"/>
          <w:lang w:val="en-US" w:eastAsia="zh-CN"/>
        </w:rPr>
        <w:t>三、</w:t>
      </w:r>
      <w:bookmarkStart w:id="9" w:name="_Toc217446031"/>
      <w:bookmarkStart w:id="10" w:name="_Toc213396945"/>
      <w:bookmarkStart w:id="11" w:name="_Toc213396759"/>
      <w:bookmarkStart w:id="12" w:name="_Toc213496267"/>
      <w:bookmarkStart w:id="13" w:name="_Toc213397009"/>
      <w:r>
        <w:rPr>
          <w:rFonts w:hint="eastAsia" w:ascii="黑体" w:hAnsi="黑体" w:eastAsia="黑体" w:cs="黑体"/>
          <w:b w:val="0"/>
          <w:bCs w:val="0"/>
          <w:spacing w:val="10"/>
          <w:sz w:val="28"/>
          <w:szCs w:val="28"/>
          <w:highlight w:val="none"/>
        </w:rPr>
        <w:t>谈判文件</w:t>
      </w:r>
      <w:bookmarkEnd w:id="8"/>
      <w:r>
        <w:rPr>
          <w:rFonts w:hint="eastAsia" w:ascii="黑体" w:hAnsi="黑体" w:eastAsia="黑体" w:cs="黑体"/>
          <w:b w:val="0"/>
          <w:bCs w:val="0"/>
          <w:spacing w:val="10"/>
          <w:sz w:val="28"/>
          <w:szCs w:val="28"/>
          <w:highlight w:val="none"/>
          <w:lang w:val="en-US" w:eastAsia="zh-CN"/>
        </w:rPr>
        <w:t>获取及报名</w:t>
      </w:r>
    </w:p>
    <w:p>
      <w:pPr>
        <w:keepNext w:val="0"/>
        <w:keepLines w:val="0"/>
        <w:pageBreakBefore w:val="0"/>
        <w:widowControl w:val="0"/>
        <w:kinsoku w:val="0"/>
        <w:wordWrap/>
        <w:overflowPunct w:val="0"/>
        <w:topLinePunct w:val="0"/>
        <w:autoSpaceDE/>
        <w:autoSpaceDN/>
        <w:bidi w:val="0"/>
        <w:adjustRightInd/>
        <w:snapToGrid/>
        <w:spacing w:line="560" w:lineRule="exact"/>
        <w:ind w:firstLine="840" w:firstLineChars="300"/>
        <w:jc w:val="both"/>
        <w:textAlignment w:val="auto"/>
        <w:rPr>
          <w:rFonts w:hint="eastAsia" w:ascii="仿宋_GB2312" w:hAnsi="仿宋_GB2312" w:eastAsia="仿宋_GB2312" w:cs="仿宋_GB2312"/>
          <w:sz w:val="28"/>
          <w:szCs w:val="28"/>
          <w:highlight w:val="none"/>
          <w:lang w:val="en-US" w:eastAsia="zh-CN"/>
        </w:rPr>
      </w:pPr>
      <w:bookmarkStart w:id="14" w:name="_Toc213226020"/>
      <w:bookmarkStart w:id="15" w:name="_Toc12537"/>
      <w:r>
        <w:rPr>
          <w:rFonts w:hint="eastAsia" w:ascii="仿宋_GB2312" w:hAnsi="仿宋_GB2312" w:eastAsia="仿宋_GB2312" w:cs="仿宋_GB2312"/>
          <w:sz w:val="28"/>
          <w:szCs w:val="28"/>
          <w:highlight w:val="none"/>
          <w:lang w:val="en-US" w:eastAsia="zh-CN"/>
        </w:rPr>
        <w:t>请有意参加本项目竞谈响应人，请于 2022年10月</w:t>
      </w:r>
      <w:r>
        <w:rPr>
          <w:rFonts w:hint="eastAsia" w:ascii="仿宋_GB2312" w:hAnsi="仿宋_GB2312" w:eastAsia="仿宋_GB2312" w:cs="仿宋_GB2312"/>
          <w:sz w:val="28"/>
          <w:szCs w:val="28"/>
          <w:highlight w:val="none"/>
          <w:u w:val="single"/>
          <w:lang w:val="en-US" w:eastAsia="zh-CN"/>
        </w:rPr>
        <w:t>11</w:t>
      </w:r>
      <w:r>
        <w:rPr>
          <w:rFonts w:hint="eastAsia" w:ascii="仿宋_GB2312" w:hAnsi="仿宋_GB2312" w:eastAsia="仿宋_GB2312" w:cs="仿宋_GB2312"/>
          <w:sz w:val="28"/>
          <w:szCs w:val="28"/>
          <w:highlight w:val="none"/>
          <w:lang w:val="en-US" w:eastAsia="zh-CN"/>
        </w:rPr>
        <w:t>日至2022年10月</w:t>
      </w:r>
      <w:r>
        <w:rPr>
          <w:rFonts w:hint="eastAsia" w:ascii="仿宋_GB2312" w:hAnsi="仿宋_GB2312" w:eastAsia="仿宋_GB2312" w:cs="仿宋_GB2312"/>
          <w:sz w:val="28"/>
          <w:szCs w:val="28"/>
          <w:highlight w:val="none"/>
          <w:u w:val="single"/>
          <w:lang w:val="en-US" w:eastAsia="zh-CN"/>
        </w:rPr>
        <w:t>18</w:t>
      </w:r>
      <w:r>
        <w:rPr>
          <w:rFonts w:hint="eastAsia" w:ascii="仿宋_GB2312" w:hAnsi="仿宋_GB2312" w:eastAsia="仿宋_GB2312" w:cs="仿宋_GB2312"/>
          <w:sz w:val="28"/>
          <w:szCs w:val="28"/>
          <w:highlight w:val="none"/>
          <w:lang w:val="en-US" w:eastAsia="zh-CN"/>
        </w:rPr>
        <w:t>日，在四川能投广元燃气发电有限公司官网（https://gyrqfd.scnyw.com/）下载获取本项目的竞谈文件。</w:t>
      </w:r>
    </w:p>
    <w:bookmarkEnd w:id="14"/>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四、谈判响应文件递交截止时间及递交地点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1.谈判响应文件递交的截止时间（谈判申请截止时间，下同）为2022年10月</w:t>
      </w:r>
      <w:r>
        <w:rPr>
          <w:rFonts w:hint="eastAsia" w:ascii="仿宋_GB2312" w:hAnsi="仿宋_GB2312" w:eastAsia="仿宋_GB2312" w:cs="仿宋_GB2312"/>
          <w:sz w:val="28"/>
          <w:szCs w:val="28"/>
          <w:highlight w:val="none"/>
          <w:u w:val="single"/>
          <w:lang w:val="en-US" w:eastAsia="zh-CN"/>
        </w:rPr>
        <w:t>19</w:t>
      </w:r>
      <w:r>
        <w:rPr>
          <w:rFonts w:hint="eastAsia" w:ascii="仿宋_GB2312" w:hAnsi="仿宋_GB2312" w:eastAsia="仿宋_GB2312" w:cs="仿宋_GB2312"/>
          <w:sz w:val="28"/>
          <w:szCs w:val="28"/>
          <w:highlight w:val="none"/>
          <w:lang w:val="en-US" w:eastAsia="zh-CN"/>
        </w:rPr>
        <w:t>日10时00分，地点为成都市武侯区天府大道中段279号成达大厦10楼。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2.逾期送达的或者未送达指定地点的谈判响应文件，采购人有权不予受理。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 xml:space="preserve">五、谈判时间及地点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1.谈判时间2022年10月</w:t>
      </w:r>
      <w:r>
        <w:rPr>
          <w:rFonts w:hint="eastAsia" w:ascii="仿宋_GB2312" w:hAnsi="仿宋_GB2312" w:eastAsia="仿宋_GB2312" w:cs="仿宋_GB2312"/>
          <w:sz w:val="28"/>
          <w:szCs w:val="28"/>
          <w:highlight w:val="none"/>
          <w:u w:val="single"/>
          <w:lang w:val="en-US" w:eastAsia="zh-CN"/>
        </w:rPr>
        <w:t>19</w:t>
      </w:r>
      <w:r>
        <w:rPr>
          <w:rFonts w:hint="eastAsia" w:ascii="仿宋_GB2312" w:hAnsi="仿宋_GB2312" w:eastAsia="仿宋_GB2312" w:cs="仿宋_GB2312"/>
          <w:sz w:val="28"/>
          <w:szCs w:val="28"/>
          <w:highlight w:val="none"/>
          <w:lang w:val="en-US" w:eastAsia="zh-CN"/>
        </w:rPr>
        <w:t>日10时00分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2.谈判地点成都市武侯区天府大道中段279号成达大厦10楼。</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1"/>
        <w:rPr>
          <w:rFonts w:hint="eastAsia" w:ascii="黑体" w:hAnsi="黑体" w:eastAsia="黑体" w:cs="黑体"/>
          <w:b w:val="0"/>
          <w:bCs w:val="0"/>
          <w:spacing w:val="10"/>
          <w:sz w:val="28"/>
          <w:szCs w:val="28"/>
          <w:highlight w:val="none"/>
        </w:rPr>
      </w:pPr>
      <w:r>
        <w:rPr>
          <w:rFonts w:hint="eastAsia" w:ascii="黑体" w:hAnsi="黑体" w:eastAsia="黑体" w:cs="黑体"/>
          <w:b w:val="0"/>
          <w:bCs w:val="0"/>
          <w:spacing w:val="10"/>
          <w:sz w:val="28"/>
          <w:szCs w:val="28"/>
          <w:highlight w:val="none"/>
        </w:rPr>
        <w:t>六、发布媒介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仿宋_GB2312" w:hAnsi="仿宋_GB2312" w:eastAsia="仿宋_GB2312" w:cs="仿宋_GB2312"/>
          <w:sz w:val="28"/>
          <w:szCs w:val="28"/>
          <w:highlight w:val="none"/>
          <w:lang w:val="en-US" w:eastAsia="zh-CN"/>
        </w:rPr>
        <w:t>本谈判公告在四川能投广元燃气发电有限公司官网（https://gyrqfd.scnyw.com/）上发布。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七、联系方式</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000000"/>
          <w:sz w:val="28"/>
          <w:szCs w:val="28"/>
          <w:highlight w:val="none"/>
          <w:u w:val="single"/>
          <w:lang w:eastAsia="zh-CN"/>
        </w:rPr>
      </w:pPr>
      <w:r>
        <w:rPr>
          <w:rFonts w:hint="eastAsia" w:ascii="仿宋_GB2312" w:hAnsi="仿宋_GB2312" w:eastAsia="仿宋_GB2312" w:cs="仿宋_GB2312"/>
          <w:sz w:val="28"/>
          <w:szCs w:val="28"/>
          <w:highlight w:val="none"/>
        </w:rPr>
        <w:t>采购人（全称）：</w:t>
      </w:r>
      <w:r>
        <w:rPr>
          <w:rFonts w:hint="eastAsia" w:ascii="仿宋_GB2312" w:hAnsi="仿宋_GB2312" w:eastAsia="仿宋_GB2312" w:cs="仿宋_GB2312"/>
          <w:bCs/>
          <w:color w:val="000000"/>
          <w:sz w:val="28"/>
          <w:szCs w:val="28"/>
          <w:highlight w:val="none"/>
          <w:u w:val="single"/>
          <w:lang w:eastAsia="zh-CN"/>
        </w:rPr>
        <w:t>四川能投广元燃气发电有限公司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333399"/>
          <w:sz w:val="28"/>
          <w:szCs w:val="28"/>
          <w:highlight w:val="none"/>
        </w:rPr>
      </w:pPr>
      <w:r>
        <w:rPr>
          <w:rFonts w:hint="eastAsia" w:ascii="仿宋_GB2312" w:hAnsi="仿宋_GB2312" w:eastAsia="仿宋_GB2312" w:cs="仿宋_GB2312"/>
          <w:sz w:val="28"/>
          <w:szCs w:val="28"/>
          <w:highlight w:val="none"/>
        </w:rPr>
        <w:t>地    址：</w:t>
      </w:r>
      <w:r>
        <w:rPr>
          <w:rFonts w:hint="eastAsia" w:ascii="仿宋_GB2312" w:hAnsi="仿宋_GB2312" w:eastAsia="仿宋_GB2312" w:cs="仿宋_GB2312"/>
          <w:b w:val="0"/>
          <w:bCs w:val="0"/>
          <w:color w:val="000000"/>
          <w:sz w:val="28"/>
          <w:szCs w:val="28"/>
          <w:highlight w:val="none"/>
          <w:u w:val="single"/>
          <w:lang w:eastAsia="zh-CN"/>
        </w:rPr>
        <w:t>成都市武侯区天府大道中段279号成达大厦10楼</w:t>
      </w:r>
      <w:r>
        <w:rPr>
          <w:rFonts w:hint="eastAsia" w:ascii="仿宋_GB2312" w:hAnsi="仿宋_GB2312" w:eastAsia="仿宋_GB2312" w:cs="仿宋_GB2312"/>
          <w:b w:val="0"/>
          <w:bCs w:val="0"/>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333399"/>
          <w:sz w:val="28"/>
          <w:szCs w:val="28"/>
          <w:highlight w:val="none"/>
          <w:lang w:eastAsia="zh-CN"/>
        </w:rPr>
      </w:pPr>
      <w:r>
        <w:rPr>
          <w:rFonts w:hint="eastAsia" w:ascii="仿宋_GB2312" w:hAnsi="仿宋_GB2312" w:eastAsia="仿宋_GB2312" w:cs="仿宋_GB2312"/>
          <w:b w:val="0"/>
          <w:bCs w:val="0"/>
          <w:sz w:val="28"/>
          <w:szCs w:val="28"/>
          <w:highlight w:val="none"/>
        </w:rPr>
        <w:t>邮    编：</w:t>
      </w:r>
      <w:r>
        <w:rPr>
          <w:rFonts w:hint="eastAsia" w:ascii="仿宋_GB2312" w:hAnsi="仿宋_GB2312" w:eastAsia="仿宋_GB2312" w:cs="仿宋_GB2312"/>
          <w:b w:val="0"/>
          <w:bCs w:val="0"/>
          <w:color w:val="000000"/>
          <w:sz w:val="28"/>
          <w:szCs w:val="28"/>
          <w:highlight w:val="none"/>
          <w:u w:val="single"/>
          <w:lang w:eastAsia="zh-CN"/>
        </w:rPr>
        <w:t>610095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u w:val="single"/>
        </w:rPr>
      </w:pPr>
      <w:r>
        <w:rPr>
          <w:rFonts w:hint="eastAsia" w:ascii="仿宋_GB2312" w:hAnsi="仿宋_GB2312" w:eastAsia="仿宋_GB2312" w:cs="仿宋_GB2312"/>
          <w:b w:val="0"/>
          <w:bCs w:val="0"/>
          <w:sz w:val="28"/>
          <w:szCs w:val="28"/>
          <w:highlight w:val="none"/>
        </w:rPr>
        <w:t>联 系 人：</w:t>
      </w:r>
      <w:r>
        <w:rPr>
          <w:rFonts w:hint="eastAsia" w:ascii="仿宋_GB2312" w:hAnsi="仿宋_GB2312" w:eastAsia="仿宋_GB2312" w:cs="仿宋_GB2312"/>
          <w:b w:val="0"/>
          <w:bCs w:val="0"/>
          <w:sz w:val="28"/>
          <w:szCs w:val="28"/>
          <w:highlight w:val="none"/>
          <w:u w:val="single"/>
          <w:lang w:val="en-US" w:eastAsia="zh-CN"/>
        </w:rPr>
        <w:t>徐</w:t>
      </w:r>
      <w:r>
        <w:rPr>
          <w:rFonts w:hint="eastAsia" w:ascii="仿宋_GB2312" w:hAnsi="仿宋_GB2312" w:eastAsia="仿宋_GB2312" w:cs="仿宋_GB2312"/>
          <w:b w:val="0"/>
          <w:bCs w:val="0"/>
          <w:color w:val="000000"/>
          <w:sz w:val="28"/>
          <w:szCs w:val="28"/>
          <w:highlight w:val="none"/>
          <w:u w:val="single"/>
          <w:lang w:eastAsia="zh-CN"/>
        </w:rPr>
        <w:t>先生</w:t>
      </w:r>
      <w:r>
        <w:rPr>
          <w:rFonts w:hint="eastAsia" w:ascii="仿宋_GB2312" w:hAnsi="仿宋_GB2312" w:eastAsia="仿宋_GB2312" w:cs="仿宋_GB2312"/>
          <w:b w:val="0"/>
          <w:bCs w:val="0"/>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color w:val="000000"/>
          <w:sz w:val="28"/>
          <w:szCs w:val="28"/>
          <w:highlight w:val="none"/>
          <w:u w:val="single"/>
        </w:rPr>
      </w:pPr>
      <w:r>
        <w:rPr>
          <w:rFonts w:hint="eastAsia" w:ascii="仿宋_GB2312" w:hAnsi="仿宋_GB2312" w:eastAsia="仿宋_GB2312" w:cs="仿宋_GB2312"/>
          <w:b w:val="0"/>
          <w:bCs w:val="0"/>
          <w:sz w:val="28"/>
          <w:szCs w:val="28"/>
          <w:highlight w:val="none"/>
        </w:rPr>
        <w:t>联系电话：</w:t>
      </w:r>
      <w:r>
        <w:rPr>
          <w:rFonts w:hint="eastAsia" w:ascii="仿宋_GB2312" w:hAnsi="仿宋_GB2312" w:eastAsia="仿宋_GB2312" w:cs="仿宋_GB2312"/>
          <w:b w:val="0"/>
          <w:bCs w:val="0"/>
          <w:color w:val="000000"/>
          <w:sz w:val="28"/>
          <w:szCs w:val="28"/>
          <w:highlight w:val="none"/>
          <w:u w:val="single"/>
          <w:lang w:eastAsia="zh-CN"/>
        </w:rPr>
        <w:t>13980523645</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联系邮箱：</w:t>
      </w:r>
      <w:r>
        <w:rPr>
          <w:rFonts w:hint="eastAsia" w:ascii="仿宋_GB2312" w:hAnsi="仿宋_GB2312" w:eastAsia="仿宋_GB2312" w:cs="仿宋_GB2312"/>
          <w:b w:val="0"/>
          <w:bCs w:val="0"/>
          <w:sz w:val="28"/>
          <w:szCs w:val="28"/>
          <w:highlight w:val="none"/>
          <w:u w:val="single"/>
          <w:lang w:val="en-US" w:eastAsia="zh-CN"/>
        </w:rPr>
        <w:t>46778529@qq.com</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0"/>
        <w:rPr>
          <w:rFonts w:hint="eastAsia" w:ascii="方正小标宋简体" w:hAnsi="方正小标宋简体" w:eastAsia="方正小标宋简体" w:cs="方正小标宋简体"/>
          <w:b w:val="0"/>
          <w:bCs w:val="0"/>
          <w:sz w:val="36"/>
          <w:szCs w:val="36"/>
          <w:highlight w:val="none"/>
        </w:rPr>
      </w:pPr>
      <w:r>
        <w:rPr>
          <w:rFonts w:hint="eastAsia" w:ascii="仿宋_GB2312" w:hAnsi="仿宋_GB2312" w:eastAsia="仿宋_GB2312" w:cs="仿宋_GB2312"/>
          <w:b w:val="0"/>
          <w:bCs w:val="0"/>
          <w:color w:val="000000"/>
          <w:sz w:val="32"/>
          <w:szCs w:val="32"/>
          <w:highlight w:val="none"/>
          <w:u w:val="single"/>
        </w:rPr>
        <w:br w:type="page"/>
      </w:r>
      <w:bookmarkStart w:id="16" w:name="_Toc26875"/>
      <w:bookmarkStart w:id="17" w:name="_Toc27908"/>
      <w:bookmarkStart w:id="18" w:name="_Toc8870"/>
      <w:bookmarkStart w:id="19" w:name="_Toc70257521"/>
      <w:r>
        <w:rPr>
          <w:rFonts w:hint="eastAsia" w:ascii="方正小标宋简体" w:hAnsi="方正小标宋简体" w:eastAsia="方正小标宋简体" w:cs="方正小标宋简体"/>
          <w:b w:val="0"/>
          <w:bCs w:val="0"/>
          <w:sz w:val="36"/>
          <w:szCs w:val="36"/>
          <w:highlight w:val="none"/>
        </w:rPr>
        <w:t>第二章  谈判须知</w:t>
      </w:r>
      <w:bookmarkEnd w:id="9"/>
      <w:bookmarkEnd w:id="10"/>
      <w:bookmarkEnd w:id="11"/>
      <w:bookmarkEnd w:id="12"/>
      <w:bookmarkEnd w:id="13"/>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firstLine="560" w:firstLineChars="200"/>
        <w:jc w:val="left"/>
        <w:textAlignment w:val="auto"/>
        <w:outlineLvl w:val="1"/>
        <w:rPr>
          <w:rFonts w:hint="eastAsia" w:ascii="黑体" w:hAnsi="黑体" w:eastAsia="黑体" w:cs="黑体"/>
          <w:b w:val="0"/>
          <w:bCs w:val="0"/>
          <w:sz w:val="28"/>
          <w:szCs w:val="28"/>
          <w:highlight w:val="none"/>
          <w:lang w:val="en-US" w:eastAsia="zh-CN"/>
        </w:rPr>
      </w:pPr>
      <w:bookmarkStart w:id="20" w:name="_Toc8093"/>
      <w:r>
        <w:rPr>
          <w:rFonts w:hint="eastAsia" w:ascii="黑体" w:hAnsi="黑体" w:eastAsia="黑体" w:cs="黑体"/>
          <w:b w:val="0"/>
          <w:bCs w:val="0"/>
          <w:sz w:val="28"/>
          <w:szCs w:val="28"/>
          <w:highlight w:val="none"/>
          <w:lang w:val="en-US" w:eastAsia="zh-CN"/>
        </w:rPr>
        <w:t>一、谈判须知前附表</w:t>
      </w:r>
      <w:bookmarkEnd w:id="20"/>
    </w:p>
    <w:tbl>
      <w:tblPr>
        <w:tblStyle w:val="17"/>
        <w:tblW w:w="89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65"/>
        <w:gridCol w:w="1389"/>
        <w:gridCol w:w="69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5" w:hRule="exact"/>
          <w:tblHeader/>
          <w:jc w:val="center"/>
        </w:trPr>
        <w:tc>
          <w:tcPr>
            <w:tcW w:w="665" w:type="dxa"/>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389" w:type="dxa"/>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条款名称</w:t>
            </w:r>
          </w:p>
        </w:tc>
        <w:tc>
          <w:tcPr>
            <w:tcW w:w="6911" w:type="dxa"/>
            <w:noWrap w:val="0"/>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rPr>
              <w:t>采购人</w:t>
            </w:r>
            <w:r>
              <w:rPr>
                <w:rFonts w:hint="eastAsia" w:ascii="仿宋_GB2312" w:hAnsi="仿宋_GB2312" w:eastAsia="仿宋_GB2312" w:cs="仿宋_GB2312"/>
                <w:i w:val="0"/>
                <w:iCs w:val="0"/>
                <w:sz w:val="24"/>
                <w:szCs w:val="24"/>
                <w:highlight w:val="none"/>
                <w:lang w:val="en-US" w:eastAsia="zh-CN"/>
              </w:rPr>
              <w:t>信息</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采购人：四川能投广元燃气发电有限公司</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地  址：四川省成都市武侯区天府大道中段279号成达大厦10楼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联系人：徐先生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联系电话：13980523645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i w:val="0"/>
                <w:iCs w:val="0"/>
                <w:sz w:val="24"/>
                <w:szCs w:val="24"/>
                <w:highlight w:val="none"/>
                <w:lang w:val="en-US" w:eastAsia="zh-CN"/>
              </w:rPr>
              <w:t>联系邮箱：46778529@qq.com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采购项目名称</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2022年度团体补充医疗保险服务机构选聘项目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8"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3</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资金来源</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lang w:val="en-US" w:eastAsia="zh-CN"/>
              </w:rPr>
              <w:t>采购人</w:t>
            </w:r>
            <w:r>
              <w:rPr>
                <w:rFonts w:hint="eastAsia" w:ascii="仿宋_GB2312" w:hAnsi="仿宋_GB2312" w:eastAsia="仿宋_GB2312" w:cs="仿宋_GB2312"/>
                <w:i w:val="0"/>
                <w:iCs w:val="0"/>
                <w:sz w:val="24"/>
                <w:szCs w:val="24"/>
                <w:highlight w:val="none"/>
              </w:rPr>
              <w:t>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4</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采购方式</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10"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5</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服务周期</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签订合同后</w:t>
            </w:r>
            <w:r>
              <w:rPr>
                <w:rFonts w:hint="eastAsia" w:ascii="仿宋_GB2312" w:hAnsi="仿宋_GB2312" w:eastAsia="仿宋_GB2312" w:cs="仿宋_GB2312"/>
                <w:i w:val="0"/>
                <w:iCs w:val="0"/>
                <w:sz w:val="24"/>
                <w:szCs w:val="24"/>
                <w:highlight w:val="none"/>
                <w:u w:val="single"/>
                <w:lang w:val="en-US" w:eastAsia="zh-CN"/>
              </w:rPr>
              <w:t>一年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4"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6</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联合体</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不做要求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7</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答疑会</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6"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8</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响应人对竞争性谈判文件提出质疑的时间</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rPr>
              <w:t>自竞争性谈判文件</w:t>
            </w:r>
            <w:r>
              <w:rPr>
                <w:rFonts w:hint="eastAsia" w:ascii="仿宋_GB2312" w:hAnsi="仿宋_GB2312" w:eastAsia="仿宋_GB2312" w:cs="仿宋_GB2312"/>
                <w:i w:val="0"/>
                <w:iCs w:val="0"/>
                <w:sz w:val="24"/>
                <w:szCs w:val="24"/>
                <w:highlight w:val="none"/>
                <w:lang w:val="en-US" w:eastAsia="zh-CN"/>
              </w:rPr>
              <w:t>挂网起</w:t>
            </w:r>
            <w:r>
              <w:rPr>
                <w:rFonts w:hint="eastAsia" w:ascii="仿宋_GB2312" w:hAnsi="仿宋_GB2312" w:eastAsia="仿宋_GB2312" w:cs="仿宋_GB2312"/>
                <w:i w:val="0"/>
                <w:iCs w:val="0"/>
                <w:sz w:val="24"/>
                <w:szCs w:val="24"/>
                <w:highlight w:val="none"/>
              </w:rPr>
              <w:t>的</w:t>
            </w:r>
            <w:r>
              <w:rPr>
                <w:rFonts w:hint="eastAsia" w:ascii="仿宋_GB2312" w:hAnsi="仿宋_GB2312" w:eastAsia="仿宋_GB2312" w:cs="仿宋_GB2312"/>
                <w:i w:val="0"/>
                <w:iCs w:val="0"/>
                <w:sz w:val="24"/>
                <w:szCs w:val="24"/>
                <w:highlight w:val="none"/>
                <w:lang w:val="en-US" w:eastAsia="zh-CN"/>
              </w:rPr>
              <w:t>2</w:t>
            </w:r>
            <w:r>
              <w:rPr>
                <w:rFonts w:hint="eastAsia" w:ascii="仿宋_GB2312" w:hAnsi="仿宋_GB2312" w:eastAsia="仿宋_GB2312" w:cs="仿宋_GB2312"/>
                <w:i w:val="0"/>
                <w:iCs w:val="0"/>
                <w:sz w:val="24"/>
                <w:szCs w:val="24"/>
                <w:highlight w:val="none"/>
              </w:rPr>
              <w:t>个工作日内</w:t>
            </w:r>
            <w:r>
              <w:rPr>
                <w:rFonts w:hint="eastAsia" w:ascii="仿宋_GB2312" w:hAnsi="仿宋_GB2312" w:eastAsia="仿宋_GB2312" w:cs="仿宋_GB2312"/>
                <w:i w:val="0"/>
                <w:iCs w:val="0"/>
                <w:sz w:val="24"/>
                <w:szCs w:val="24"/>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3"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9</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分包</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1"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10</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构成竞争性谈判文件的其他文件</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竞争性谈判文件的澄清、修改书及有关补充通知为竞争性谈判文件的有效组成部分。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1"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11</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谈判有效期</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谈判截止时间后</w:t>
            </w:r>
            <w:r>
              <w:rPr>
                <w:rFonts w:hint="eastAsia" w:ascii="仿宋_GB2312" w:hAnsi="仿宋_GB2312" w:eastAsia="仿宋_GB2312" w:cs="仿宋_GB2312"/>
                <w:i w:val="0"/>
                <w:iCs w:val="0"/>
                <w:sz w:val="24"/>
                <w:szCs w:val="24"/>
                <w:highlight w:val="none"/>
                <w:u w:val="single"/>
                <w:lang w:val="en-US" w:eastAsia="zh-CN"/>
              </w:rPr>
              <w:t>3</w:t>
            </w:r>
            <w:r>
              <w:rPr>
                <w:rFonts w:hint="eastAsia" w:ascii="仿宋_GB2312" w:hAnsi="仿宋_GB2312" w:eastAsia="仿宋_GB2312" w:cs="仿宋_GB2312"/>
                <w:i w:val="0"/>
                <w:iCs w:val="0"/>
                <w:sz w:val="24"/>
                <w:szCs w:val="24"/>
                <w:highlight w:val="none"/>
                <w:u w:val="single"/>
              </w:rPr>
              <w:t>0</w:t>
            </w:r>
            <w:r>
              <w:rPr>
                <w:rFonts w:hint="eastAsia" w:ascii="仿宋_GB2312" w:hAnsi="仿宋_GB2312" w:eastAsia="仿宋_GB2312" w:cs="仿宋_GB2312"/>
                <w:i w:val="0"/>
                <w:iCs w:val="0"/>
                <w:sz w:val="24"/>
                <w:szCs w:val="24"/>
                <w:highlight w:val="none"/>
              </w:rPr>
              <w:t>个日历天内。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18"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12</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签字盖章</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响应人必须按照竞争性谈判文件的规定和要求签字、盖章(法定代表人的签字可用具有法定效力的签字章)：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（1）所有要求除法定代表人以外的其他人员签字的地方都应用不褪色的墨水或签字笔由本人亲笔手写签字(包括姓和名)。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（2）所有要求盖章的地方都应加盖响应人单位（法定名称）章。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（3）</w:t>
            </w:r>
            <w:r>
              <w:rPr>
                <w:rFonts w:hint="eastAsia" w:ascii="仿宋_GB2312" w:hAnsi="仿宋_GB2312" w:eastAsia="仿宋_GB2312" w:cs="仿宋_GB2312"/>
                <w:i w:val="0"/>
                <w:iCs w:val="0"/>
                <w:sz w:val="24"/>
                <w:szCs w:val="24"/>
                <w:highlight w:val="none"/>
                <w:lang w:val="en-US" w:eastAsia="zh-CN"/>
              </w:rPr>
              <w:t>响应</w:t>
            </w:r>
            <w:r>
              <w:rPr>
                <w:rFonts w:hint="eastAsia" w:ascii="仿宋_GB2312" w:hAnsi="仿宋_GB2312" w:eastAsia="仿宋_GB2312" w:cs="仿宋_GB2312"/>
                <w:i w:val="0"/>
                <w:iCs w:val="0"/>
                <w:sz w:val="24"/>
                <w:szCs w:val="24"/>
                <w:highlight w:val="none"/>
              </w:rPr>
              <w:t>文件格式中要求响应人“法定代表人或其委托代理人”签字的，如法定代表人亲自投标而不委托代理人投标的，由法定代表人签字或签章；法定代表人授权委托代理人投标的，由委托代理人签字，也可由法定代表人签字或签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（4）正本必须盖鲜章；副本可为正本的复印件。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1" w:hRule="exac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13</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响应文件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份数</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正本</w:t>
            </w:r>
            <w:r>
              <w:rPr>
                <w:rFonts w:hint="eastAsia" w:ascii="仿宋_GB2312" w:hAnsi="仿宋_GB2312" w:eastAsia="仿宋_GB2312" w:cs="仿宋_GB2312"/>
                <w:i w:val="0"/>
                <w:iCs w:val="0"/>
                <w:sz w:val="24"/>
                <w:szCs w:val="24"/>
                <w:highlight w:val="none"/>
                <w:u w:val="single"/>
              </w:rPr>
              <w:t>壹</w:t>
            </w:r>
            <w:r>
              <w:rPr>
                <w:rFonts w:hint="eastAsia" w:ascii="仿宋_GB2312" w:hAnsi="仿宋_GB2312" w:eastAsia="仿宋_GB2312" w:cs="仿宋_GB2312"/>
                <w:i w:val="0"/>
                <w:iCs w:val="0"/>
                <w:sz w:val="24"/>
                <w:szCs w:val="24"/>
                <w:highlight w:val="none"/>
              </w:rPr>
              <w:t>份；副本</w:t>
            </w:r>
            <w:r>
              <w:rPr>
                <w:rFonts w:hint="eastAsia" w:ascii="仿宋_GB2312" w:hAnsi="仿宋_GB2312" w:eastAsia="仿宋_GB2312" w:cs="仿宋_GB2312"/>
                <w:i w:val="0"/>
                <w:iCs w:val="0"/>
                <w:sz w:val="24"/>
                <w:szCs w:val="24"/>
                <w:highlight w:val="none"/>
                <w:u w:val="single"/>
              </w:rPr>
              <w:t>壹</w:t>
            </w:r>
            <w:r>
              <w:rPr>
                <w:rFonts w:hint="eastAsia" w:ascii="仿宋_GB2312" w:hAnsi="仿宋_GB2312" w:eastAsia="仿宋_GB2312" w:cs="仿宋_GB2312"/>
                <w:i w:val="0"/>
                <w:iCs w:val="0"/>
                <w:sz w:val="24"/>
                <w:szCs w:val="24"/>
                <w:highlight w:val="none"/>
              </w:rPr>
              <w:t>份。电子文档U盘</w:t>
            </w:r>
            <w:r>
              <w:rPr>
                <w:rFonts w:hint="eastAsia" w:ascii="仿宋_GB2312" w:hAnsi="仿宋_GB2312" w:eastAsia="仿宋_GB2312" w:cs="仿宋_GB2312"/>
                <w:i w:val="0"/>
                <w:iCs w:val="0"/>
                <w:sz w:val="24"/>
                <w:szCs w:val="24"/>
                <w:highlight w:val="none"/>
                <w:u w:val="single"/>
              </w:rPr>
              <w:t>壹</w:t>
            </w:r>
            <w:r>
              <w:rPr>
                <w:rFonts w:hint="eastAsia" w:ascii="仿宋_GB2312" w:hAnsi="仿宋_GB2312" w:eastAsia="仿宋_GB2312" w:cs="仿宋_GB2312"/>
                <w:i w:val="0"/>
                <w:iCs w:val="0"/>
                <w:sz w:val="24"/>
                <w:szCs w:val="24"/>
                <w:highlight w:val="none"/>
              </w:rPr>
              <w:t>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6" w:hRule="atLeast"/>
          <w:jc w:val="center"/>
        </w:trPr>
        <w:tc>
          <w:tcPr>
            <w:tcW w:w="66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14</w:t>
            </w:r>
          </w:p>
        </w:tc>
        <w:tc>
          <w:tcPr>
            <w:tcW w:w="13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响应文件封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面的标注</w:t>
            </w:r>
          </w:p>
        </w:tc>
        <w:tc>
          <w:tcPr>
            <w:tcW w:w="691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竞谈响应文件正本和副本的封面上均应标明：竞争性谈判项目名称、标段号(如涉及则标明)、响应人名称、年月日；并分别在右上角标明“正本”和“副本”字样。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6"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15</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竞谈响应文件外层密封袋的标注</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竞争性谈判项目名称、标段号(如涉及则标明)、响应人名称、年月日。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7"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16</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装订</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应采用胶粘等固定形式装订，不允许采用活页、活扣形式装订。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6"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17</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谈判小组的组建</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谈判小组成员构成：</w:t>
            </w:r>
            <w:r>
              <w:rPr>
                <w:rFonts w:hint="eastAsia" w:ascii="仿宋_GB2312" w:hAnsi="仿宋_GB2312" w:eastAsia="仿宋_GB2312" w:cs="仿宋_GB2312"/>
                <w:i w:val="0"/>
                <w:iCs w:val="0"/>
                <w:sz w:val="24"/>
                <w:szCs w:val="24"/>
                <w:highlight w:val="none"/>
                <w:u w:val="single"/>
                <w:lang w:val="en-US" w:eastAsia="zh-CN"/>
              </w:rPr>
              <w:t>3</w:t>
            </w:r>
            <w:r>
              <w:rPr>
                <w:rFonts w:hint="eastAsia" w:ascii="仿宋_GB2312" w:hAnsi="仿宋_GB2312" w:eastAsia="仿宋_GB2312" w:cs="仿宋_GB2312"/>
                <w:i w:val="0"/>
                <w:iCs w:val="0"/>
                <w:sz w:val="24"/>
                <w:szCs w:val="24"/>
                <w:highlight w:val="none"/>
              </w:rPr>
              <w:t>人。谈判小组成员的组成和谈判专家的确定方式按</w:t>
            </w:r>
            <w:r>
              <w:rPr>
                <w:rFonts w:hint="eastAsia" w:ascii="仿宋_GB2312" w:hAnsi="仿宋_GB2312" w:eastAsia="仿宋_GB2312" w:cs="仿宋_GB2312"/>
                <w:sz w:val="24"/>
                <w:szCs w:val="24"/>
                <w:highlight w:val="none"/>
                <w:lang w:eastAsia="zh-CN"/>
              </w:rPr>
              <w:t>四川能投广元燃气发电有限公司</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招标（采购）管理办法（试行）</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sz w:val="24"/>
                <w:szCs w:val="24"/>
                <w:highlight w:val="none"/>
              </w:rPr>
              <w:t>规定执行。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18</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谈判保证金</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6"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19</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谈判保证金的退还</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eastAsia="zh-CN"/>
              </w:rPr>
            </w:pPr>
            <w:r>
              <w:rPr>
                <w:rFonts w:hint="eastAsia" w:ascii="仿宋_GB2312" w:hAnsi="仿宋_GB2312" w:eastAsia="仿宋_GB2312" w:cs="仿宋_GB2312"/>
                <w:i w:val="0"/>
                <w:iCs w:val="0"/>
                <w:sz w:val="24"/>
                <w:szCs w:val="24"/>
                <w:highlight w:val="none"/>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7" w:hRule="atLeast"/>
          <w:jc w:val="center"/>
        </w:trPr>
        <w:tc>
          <w:tcPr>
            <w:tcW w:w="6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20</w:t>
            </w:r>
          </w:p>
        </w:tc>
        <w:tc>
          <w:tcPr>
            <w:tcW w:w="138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谈判保证金不予退还的情形</w:t>
            </w:r>
          </w:p>
        </w:tc>
        <w:tc>
          <w:tcPr>
            <w:tcW w:w="691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21</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是否授权谈判小组直接确定成交响应人</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否，推荐成交候选响应人的数量：</w:t>
            </w:r>
            <w:r>
              <w:rPr>
                <w:rFonts w:hint="eastAsia" w:ascii="仿宋_GB2312" w:hAnsi="仿宋_GB2312" w:eastAsia="仿宋_GB2312" w:cs="仿宋_GB2312"/>
                <w:i w:val="0"/>
                <w:iCs w:val="0"/>
                <w:sz w:val="24"/>
                <w:szCs w:val="24"/>
                <w:highlight w:val="none"/>
                <w:u w:val="single"/>
              </w:rPr>
              <w:t>1-3</w:t>
            </w:r>
            <w:r>
              <w:rPr>
                <w:rFonts w:hint="eastAsia" w:ascii="仿宋_GB2312" w:hAnsi="仿宋_GB2312" w:eastAsia="仿宋_GB2312" w:cs="仿宋_GB2312"/>
                <w:i w:val="0"/>
                <w:iCs w:val="0"/>
                <w:sz w:val="24"/>
                <w:szCs w:val="24"/>
                <w:highlight w:val="none"/>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22</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采购控制价</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控制价</w:t>
            </w:r>
            <w:r>
              <w:rPr>
                <w:rFonts w:hint="eastAsia"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lang w:val="en-US" w:eastAsia="zh-CN"/>
              </w:rPr>
              <w:t>含税</w:t>
            </w:r>
            <w:r>
              <w:rPr>
                <w:rFonts w:hint="eastAsia" w:ascii="仿宋_GB2312" w:hAnsi="仿宋_GB2312" w:eastAsia="仿宋_GB2312" w:cs="仿宋_GB2312"/>
                <w:i w:val="0"/>
                <w:iCs w:val="0"/>
                <w:sz w:val="24"/>
                <w:szCs w:val="24"/>
                <w:highlight w:val="none"/>
                <w:lang w:eastAsia="zh-CN"/>
              </w:rPr>
              <w:t>）</w:t>
            </w:r>
            <w:r>
              <w:rPr>
                <w:rFonts w:hint="eastAsia" w:ascii="仿宋_GB2312" w:hAnsi="仿宋_GB2312" w:eastAsia="仿宋_GB2312" w:cs="仿宋_GB2312"/>
                <w:i w:val="0"/>
                <w:iCs w:val="0"/>
                <w:sz w:val="24"/>
                <w:szCs w:val="24"/>
                <w:highlight w:val="none"/>
              </w:rPr>
              <w:t>：</w:t>
            </w:r>
            <w:r>
              <w:rPr>
                <w:rFonts w:hint="eastAsia" w:ascii="仿宋_GB2312" w:hAnsi="仿宋_GB2312" w:eastAsia="仿宋_GB2312" w:cs="仿宋_GB2312"/>
                <w:i w:val="0"/>
                <w:iCs w:val="0"/>
                <w:sz w:val="24"/>
                <w:szCs w:val="24"/>
                <w:highlight w:val="none"/>
                <w:u w:val="single"/>
                <w:lang w:val="en-US" w:eastAsia="zh-CN"/>
              </w:rPr>
              <w:t>21.61万元</w:t>
            </w:r>
            <w:r>
              <w:rPr>
                <w:rFonts w:hint="eastAsia" w:ascii="仿宋_GB2312" w:hAnsi="仿宋_GB2312" w:eastAsia="仿宋_GB2312" w:cs="仿宋_GB2312"/>
                <w:i w:val="0"/>
                <w:iCs w:val="0"/>
                <w:sz w:val="24"/>
                <w:szCs w:val="24"/>
                <w:highlight w:val="none"/>
              </w:rPr>
              <w:t>。报价不得超过控制价，否则作为废标处理。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6"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23</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代理服务费</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8"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24</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特别说明</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如本竞争性谈判文件谈判须知前附表所述内容与竞争性谈判文件谈判须知所述内容不一致或竞争性谈判文件谈判须知中表述不明时，以谈判须知前附表的所述内容为准。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jc w:val="center"/>
        </w:trPr>
        <w:tc>
          <w:tcPr>
            <w:tcW w:w="6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25</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kern w:val="2"/>
                <w:sz w:val="24"/>
                <w:szCs w:val="24"/>
                <w:highlight w:val="none"/>
              </w:rPr>
              <w:t>一般要求</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符合第一章竞争性谈判公告第二（一）条的要求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3" w:hRule="atLeast"/>
          <w:jc w:val="center"/>
        </w:trPr>
        <w:tc>
          <w:tcPr>
            <w:tcW w:w="6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rPr>
            </w:pPr>
            <w:r>
              <w:rPr>
                <w:rFonts w:hint="eastAsia" w:ascii="仿宋_GB2312" w:hAnsi="仿宋_GB2312" w:eastAsia="仿宋_GB2312" w:cs="仿宋_GB2312"/>
                <w:i w:val="0"/>
                <w:iCs w:val="0"/>
                <w:sz w:val="24"/>
                <w:szCs w:val="24"/>
                <w:highlight w:val="none"/>
              </w:rPr>
              <w:t>26</w:t>
            </w:r>
          </w:p>
        </w:tc>
        <w:tc>
          <w:tcPr>
            <w:tcW w:w="1389"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i w:val="0"/>
                <w:iCs w:val="0"/>
                <w:kern w:val="2"/>
                <w:sz w:val="24"/>
                <w:szCs w:val="24"/>
                <w:highlight w:val="none"/>
              </w:rPr>
            </w:pPr>
            <w:r>
              <w:rPr>
                <w:rFonts w:hint="eastAsia" w:ascii="仿宋_GB2312" w:hAnsi="仿宋_GB2312" w:eastAsia="仿宋_GB2312" w:cs="仿宋_GB2312"/>
                <w:i w:val="0"/>
                <w:iCs w:val="0"/>
                <w:spacing w:val="10"/>
                <w:sz w:val="24"/>
                <w:szCs w:val="24"/>
                <w:highlight w:val="none"/>
              </w:rPr>
              <w:t>资格要求</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i w:val="0"/>
                <w:iCs w:val="0"/>
                <w:spacing w:val="10"/>
                <w:sz w:val="24"/>
                <w:szCs w:val="24"/>
                <w:highlight w:val="none"/>
              </w:rPr>
            </w:pPr>
            <w:r>
              <w:rPr>
                <w:rFonts w:hint="eastAsia" w:ascii="仿宋_GB2312" w:hAnsi="仿宋_GB2312" w:eastAsia="仿宋_GB2312" w:cs="仿宋_GB2312"/>
                <w:i w:val="0"/>
                <w:iCs w:val="0"/>
                <w:sz w:val="24"/>
                <w:szCs w:val="24"/>
                <w:highlight w:val="none"/>
                <w:lang w:val="en-US" w:eastAsia="zh-CN"/>
              </w:rPr>
              <w:t>符合第一章竞争性谈判公告第二（二）条的要求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3" w:hRule="atLeast"/>
          <w:jc w:val="center"/>
        </w:trPr>
        <w:tc>
          <w:tcPr>
            <w:tcW w:w="66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27</w:t>
            </w:r>
          </w:p>
        </w:tc>
        <w:tc>
          <w:tcPr>
            <w:tcW w:w="1389"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偏离</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i w:val="0"/>
                <w:iCs w:val="0"/>
                <w:kern w:val="2"/>
                <w:sz w:val="24"/>
                <w:szCs w:val="24"/>
                <w:highlight w:val="none"/>
                <w:lang w:val="en-US" w:eastAsia="zh-CN" w:bidi="ar-SA"/>
              </w:rPr>
            </w:pPr>
            <w:r>
              <w:rPr>
                <w:rFonts w:hint="eastAsia" w:ascii="仿宋_GB2312" w:hAnsi="仿宋_GB2312" w:eastAsia="仿宋_GB2312" w:cs="仿宋_GB2312"/>
                <w:i w:val="0"/>
                <w:iCs w:val="0"/>
                <w:kern w:val="2"/>
                <w:sz w:val="24"/>
                <w:szCs w:val="24"/>
                <w:highlight w:val="none"/>
                <w:lang w:val="en-US" w:eastAsia="zh-CN" w:bidi="ar-SA"/>
              </w:rPr>
              <w:t>响应文件满足采购人实质性要求，且没有重大偏离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5" w:hRule="atLeast"/>
          <w:jc w:val="center"/>
        </w:trPr>
        <w:tc>
          <w:tcPr>
            <w:tcW w:w="66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仿宋_GB2312" w:hAnsi="仿宋_GB2312" w:eastAsia="仿宋_GB2312" w:cs="仿宋_GB2312"/>
                <w:i w:val="0"/>
                <w:iCs w:val="0"/>
                <w:spacing w:val="10"/>
                <w:sz w:val="24"/>
                <w:szCs w:val="24"/>
                <w:highlight w:val="none"/>
                <w:lang w:val="en-US" w:eastAsia="zh-CN"/>
              </w:rPr>
            </w:pPr>
            <w:r>
              <w:rPr>
                <w:rFonts w:hint="eastAsia" w:ascii="仿宋_GB2312" w:hAnsi="仿宋_GB2312" w:eastAsia="仿宋_GB2312" w:cs="仿宋_GB2312"/>
                <w:i w:val="0"/>
                <w:iCs w:val="0"/>
                <w:spacing w:val="10"/>
                <w:sz w:val="24"/>
                <w:szCs w:val="24"/>
                <w:highlight w:val="none"/>
                <w:lang w:val="en-US" w:eastAsia="zh-CN"/>
              </w:rPr>
              <w:t>27</w:t>
            </w:r>
          </w:p>
        </w:tc>
        <w:tc>
          <w:tcPr>
            <w:tcW w:w="13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i w:val="0"/>
                <w:iCs w:val="0"/>
                <w:sz w:val="24"/>
                <w:szCs w:val="24"/>
                <w:highlight w:val="none"/>
                <w:lang w:val="en-US" w:eastAsia="zh-CN"/>
              </w:rPr>
              <w:t>其他要求</w:t>
            </w:r>
          </w:p>
        </w:tc>
        <w:tc>
          <w:tcPr>
            <w:tcW w:w="691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i w:val="0"/>
                <w:iCs w:val="0"/>
                <w:sz w:val="24"/>
                <w:szCs w:val="24"/>
                <w:highlight w:val="none"/>
                <w:lang w:val="en-US"/>
              </w:rPr>
            </w:pPr>
            <w:r>
              <w:rPr>
                <w:rFonts w:hint="eastAsia" w:ascii="仿宋_GB2312" w:hAnsi="仿宋_GB2312" w:eastAsia="仿宋_GB2312" w:cs="仿宋_GB2312"/>
                <w:i w:val="0"/>
                <w:iCs w:val="0"/>
                <w:spacing w:val="10"/>
                <w:sz w:val="24"/>
                <w:szCs w:val="24"/>
                <w:highlight w:val="none"/>
                <w:lang w:val="en-US" w:eastAsia="zh-CN"/>
              </w:rPr>
              <w:t>（1）</w:t>
            </w:r>
            <w:r>
              <w:rPr>
                <w:rFonts w:hint="eastAsia" w:ascii="仿宋_GB2312" w:hAnsi="仿宋_GB2312" w:eastAsia="仿宋_GB2312" w:cs="仿宋_GB2312"/>
                <w:i w:val="0"/>
                <w:iCs w:val="0"/>
                <w:spacing w:val="10"/>
                <w:sz w:val="24"/>
                <w:szCs w:val="24"/>
                <w:highlight w:val="none"/>
                <w:lang w:val="en-US"/>
              </w:rPr>
              <w:t>投标人在最近3年内没有</w:t>
            </w:r>
            <w:r>
              <w:rPr>
                <w:rFonts w:hint="eastAsia" w:ascii="仿宋_GB2312" w:hAnsi="仿宋_GB2312" w:eastAsia="仿宋_GB2312" w:cs="仿宋_GB2312"/>
                <w:i w:val="0"/>
                <w:iCs w:val="0"/>
                <w:spacing w:val="10"/>
                <w:sz w:val="24"/>
                <w:szCs w:val="24"/>
                <w:highlight w:val="none"/>
                <w:lang w:val="en-US" w:eastAsia="zh-CN"/>
              </w:rPr>
              <w:t>串通投标及</w:t>
            </w:r>
            <w:r>
              <w:rPr>
                <w:rFonts w:hint="eastAsia" w:ascii="仿宋_GB2312" w:hAnsi="仿宋_GB2312" w:eastAsia="仿宋_GB2312" w:cs="仿宋_GB2312"/>
                <w:i w:val="0"/>
                <w:iCs w:val="0"/>
                <w:spacing w:val="10"/>
                <w:sz w:val="24"/>
                <w:szCs w:val="24"/>
                <w:highlight w:val="none"/>
                <w:lang w:val="en-US"/>
              </w:rPr>
              <w:t>骗取中标</w:t>
            </w:r>
            <w:r>
              <w:rPr>
                <w:rFonts w:hint="eastAsia" w:ascii="仿宋_GB2312" w:hAnsi="仿宋_GB2312" w:eastAsia="仿宋_GB2312" w:cs="仿宋_GB2312"/>
                <w:i w:val="0"/>
                <w:iCs w:val="0"/>
                <w:spacing w:val="10"/>
                <w:sz w:val="24"/>
                <w:szCs w:val="24"/>
                <w:highlight w:val="none"/>
                <w:lang w:val="en-US" w:eastAsia="zh-CN"/>
              </w:rPr>
              <w:t>等违反招标投标法行为，且不存在</w:t>
            </w:r>
            <w:r>
              <w:rPr>
                <w:rFonts w:hint="eastAsia" w:ascii="仿宋_GB2312" w:hAnsi="仿宋_GB2312" w:eastAsia="仿宋_GB2312" w:cs="仿宋_GB2312"/>
                <w:i w:val="0"/>
                <w:iCs w:val="0"/>
                <w:spacing w:val="10"/>
                <w:sz w:val="24"/>
                <w:szCs w:val="24"/>
                <w:highlight w:val="none"/>
                <w:lang w:val="en-US"/>
              </w:rPr>
              <w:t>严重违约的情况；不存在尚未了结的重大诉讼</w:t>
            </w:r>
            <w:r>
              <w:rPr>
                <w:rFonts w:hint="eastAsia" w:ascii="仿宋_GB2312" w:hAnsi="仿宋_GB2312" w:eastAsia="仿宋_GB2312" w:cs="仿宋_GB2312"/>
                <w:i w:val="0"/>
                <w:iCs w:val="0"/>
                <w:spacing w:val="10"/>
                <w:sz w:val="24"/>
                <w:szCs w:val="24"/>
                <w:highlight w:val="none"/>
                <w:lang w:val="en-US" w:eastAsia="zh-CN"/>
              </w:rPr>
              <w:t>、仲裁</w:t>
            </w:r>
            <w:r>
              <w:rPr>
                <w:rFonts w:hint="eastAsia" w:ascii="仿宋_GB2312" w:hAnsi="仿宋_GB2312" w:eastAsia="仿宋_GB2312" w:cs="仿宋_GB2312"/>
                <w:i w:val="0"/>
                <w:iCs w:val="0"/>
                <w:spacing w:val="10"/>
                <w:sz w:val="24"/>
                <w:szCs w:val="24"/>
                <w:highlight w:val="none"/>
                <w:lang w:val="en-US"/>
              </w:rPr>
              <w:t>案件。（承诺）</w:t>
            </w:r>
          </w:p>
        </w:tc>
      </w:tr>
    </w:tbl>
    <w:p>
      <w:pPr>
        <w:keepNext w:val="0"/>
        <w:keepLines w:val="0"/>
        <w:pageBreakBefore w:val="0"/>
        <w:kinsoku/>
        <w:wordWrap/>
        <w:overflowPunct/>
        <w:topLinePunct w:val="0"/>
        <w:autoSpaceDE/>
        <w:autoSpaceDN/>
        <w:bidi w:val="0"/>
        <w:adjustRightInd/>
        <w:spacing w:line="560" w:lineRule="exact"/>
        <w:textAlignment w:val="auto"/>
        <w:rPr>
          <w:rFonts w:ascii="宋体" w:hAnsi="宋体" w:cs="宋体"/>
          <w:i w:val="0"/>
          <w:iCs w:val="0"/>
          <w:sz w:val="28"/>
          <w:szCs w:val="28"/>
          <w:highlight w:val="none"/>
        </w:rPr>
      </w:pPr>
    </w:p>
    <w:p>
      <w:pPr>
        <w:pStyle w:val="8"/>
        <w:keepNext w:val="0"/>
        <w:keepLines w:val="0"/>
        <w:pageBreakBefore w:val="0"/>
        <w:kinsoku/>
        <w:wordWrap/>
        <w:overflowPunct/>
        <w:topLinePunct w:val="0"/>
        <w:autoSpaceDE/>
        <w:autoSpaceDN/>
        <w:bidi w:val="0"/>
        <w:adjustRightInd/>
        <w:spacing w:line="560" w:lineRule="exact"/>
        <w:ind w:left="2940"/>
        <w:textAlignment w:val="auto"/>
        <w:rPr>
          <w:i w:val="0"/>
          <w:iCs w:val="0"/>
          <w:sz w:val="28"/>
          <w:szCs w:val="28"/>
          <w:highlight w:val="none"/>
        </w:rPr>
      </w:pPr>
    </w:p>
    <w:p>
      <w:pPr>
        <w:rPr>
          <w:sz w:val="28"/>
          <w:szCs w:val="28"/>
          <w:highlight w:val="none"/>
        </w:rPr>
        <w:sectPr>
          <w:footerReference r:id="rId11" w:type="default"/>
          <w:pgSz w:w="11907" w:h="16840"/>
          <w:pgMar w:top="1440" w:right="1474" w:bottom="1440" w:left="1474" w:header="851" w:footer="992" w:gutter="0"/>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highlight w:val="none"/>
          <w:lang w:val="en-US" w:eastAsia="zh-CN"/>
        </w:rPr>
      </w:pPr>
      <w:bookmarkStart w:id="21" w:name="_Toc24599"/>
      <w:r>
        <w:rPr>
          <w:rFonts w:hint="eastAsia" w:ascii="黑体" w:hAnsi="黑体" w:eastAsia="黑体" w:cs="黑体"/>
          <w:b w:val="0"/>
          <w:bCs w:val="0"/>
          <w:sz w:val="28"/>
          <w:szCs w:val="28"/>
          <w:highlight w:val="none"/>
          <w:lang w:val="en-US" w:eastAsia="zh-CN"/>
        </w:rPr>
        <w:t>二、总则</w:t>
      </w:r>
      <w:bookmarkEnd w:id="21"/>
    </w:p>
    <w:p>
      <w:pPr>
        <w:pStyle w:val="7"/>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textAlignment w:val="auto"/>
        <w:outlineLvl w:val="2"/>
        <w:rPr>
          <w:rFonts w:hint="eastAsia" w:ascii="仿宋_GB2312" w:hAnsi="仿宋_GB2312" w:eastAsia="仿宋_GB2312" w:cs="仿宋_GB2312"/>
          <w:b/>
          <w:bCs/>
          <w:sz w:val="28"/>
          <w:szCs w:val="28"/>
          <w:highlight w:val="none"/>
        </w:rPr>
      </w:pPr>
      <w:bookmarkStart w:id="22" w:name="PO_默认文件内容_22"/>
      <w:bookmarkStart w:id="23" w:name="_Toc89075878"/>
      <w:bookmarkStart w:id="24" w:name="_Toc77400782"/>
      <w:bookmarkStart w:id="25" w:name="_Toc217446056"/>
      <w:bookmarkStart w:id="26" w:name="_Toc183582231"/>
      <w:bookmarkStart w:id="27" w:name="_Toc183682368"/>
      <w:r>
        <w:rPr>
          <w:rFonts w:hint="eastAsia" w:ascii="仿宋_GB2312" w:hAnsi="仿宋_GB2312" w:eastAsia="仿宋_GB2312" w:cs="仿宋_GB2312"/>
          <w:b/>
          <w:bCs/>
          <w:sz w:val="28"/>
          <w:szCs w:val="28"/>
          <w:highlight w:val="none"/>
          <w:lang w:val="en-US" w:eastAsia="zh-CN"/>
        </w:rPr>
        <w:t xml:space="preserve">1. </w:t>
      </w:r>
      <w:r>
        <w:rPr>
          <w:rFonts w:hint="eastAsia" w:ascii="仿宋_GB2312" w:hAnsi="仿宋_GB2312" w:eastAsia="仿宋_GB2312" w:cs="仿宋_GB2312"/>
          <w:b/>
          <w:bCs/>
          <w:sz w:val="28"/>
          <w:szCs w:val="28"/>
          <w:highlight w:val="none"/>
        </w:rPr>
        <w:t>适用范围</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本谈判文件仅适用于本次谈判采购项目。</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本谈判文件的解释权归采购人所有。</w:t>
      </w:r>
      <w:bookmarkEnd w:id="22"/>
      <w:bookmarkStart w:id="28" w:name="_Toc183682343"/>
      <w:bookmarkStart w:id="29" w:name="_Toc183582206"/>
      <w:bookmarkStart w:id="30" w:name="_Toc217446035"/>
    </w:p>
    <w:bookmarkEnd w:id="28"/>
    <w:bookmarkEnd w:id="29"/>
    <w:bookmarkEnd w:id="30"/>
    <w:p>
      <w:pPr>
        <w:pStyle w:val="7"/>
        <w:pageBreakBefore w:val="0"/>
        <w:widowControl w:val="0"/>
        <w:kinsoku/>
        <w:wordWrap/>
        <w:overflowPunct/>
        <w:topLinePunct w:val="0"/>
        <w:autoSpaceDE/>
        <w:autoSpaceDN/>
        <w:bidi w:val="0"/>
        <w:adjustRightInd/>
        <w:snapToGrid/>
        <w:spacing w:before="0" w:after="0" w:line="560" w:lineRule="exact"/>
        <w:ind w:firstLine="562" w:firstLineChars="200"/>
        <w:textAlignment w:val="auto"/>
        <w:outlineLvl w:val="2"/>
        <w:rPr>
          <w:rFonts w:hint="eastAsia" w:ascii="仿宋_GB2312" w:hAnsi="仿宋_GB2312" w:eastAsia="仿宋_GB2312" w:cs="仿宋_GB2312"/>
          <w:sz w:val="28"/>
          <w:szCs w:val="28"/>
          <w:highlight w:val="none"/>
        </w:rPr>
      </w:pPr>
      <w:bookmarkStart w:id="31" w:name="_Toc325096467"/>
      <w:bookmarkStart w:id="32" w:name="_Toc325464816"/>
      <w:bookmarkStart w:id="33" w:name="_Toc317509232"/>
      <w:bookmarkStart w:id="34" w:name="_Toc317509385"/>
      <w:bookmarkStart w:id="35" w:name="PO_默认文件内容_23"/>
      <w:r>
        <w:rPr>
          <w:rFonts w:hint="eastAsia" w:ascii="仿宋_GB2312" w:hAnsi="仿宋_GB2312" w:eastAsia="仿宋_GB2312" w:cs="仿宋_GB2312"/>
          <w:sz w:val="28"/>
          <w:szCs w:val="28"/>
          <w:highlight w:val="none"/>
          <w:lang w:val="en-US" w:eastAsia="zh-CN"/>
        </w:rPr>
        <w:t xml:space="preserve">2. </w:t>
      </w:r>
      <w:r>
        <w:rPr>
          <w:rFonts w:hint="eastAsia" w:ascii="仿宋_GB2312" w:hAnsi="仿宋_GB2312" w:eastAsia="仿宋_GB2312" w:cs="仿宋_GB2312"/>
          <w:sz w:val="28"/>
          <w:szCs w:val="28"/>
          <w:highlight w:val="none"/>
        </w:rPr>
        <w:t>有关定义</w:t>
      </w:r>
      <w:bookmarkEnd w:id="31"/>
      <w:bookmarkEnd w:id="32"/>
      <w:bookmarkEnd w:id="33"/>
      <w:bookmarkEnd w:id="34"/>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bookmarkStart w:id="36" w:name="_Toc183582207"/>
      <w:bookmarkStart w:id="37" w:name="_Toc217446036"/>
      <w:bookmarkStart w:id="38" w:name="_Toc183682344"/>
      <w:bookmarkStart w:id="39" w:name="_Toc217390843"/>
      <w:r>
        <w:rPr>
          <w:rFonts w:hint="eastAsia" w:ascii="仿宋_GB2312" w:hAnsi="仿宋_GB2312" w:eastAsia="仿宋_GB2312" w:cs="仿宋_GB2312"/>
          <w:sz w:val="28"/>
          <w:szCs w:val="28"/>
          <w:highlight w:val="none"/>
        </w:rPr>
        <w:t>2.1 本次竞争性谈判的采购人是</w:t>
      </w:r>
      <w:r>
        <w:rPr>
          <w:rFonts w:hint="eastAsia" w:ascii="仿宋_GB2312" w:hAnsi="仿宋_GB2312" w:eastAsia="仿宋_GB2312" w:cs="仿宋_GB2312"/>
          <w:sz w:val="28"/>
          <w:szCs w:val="28"/>
          <w:highlight w:val="none"/>
          <w:lang w:eastAsia="zh-CN"/>
        </w:rPr>
        <w:t>四川能投广元燃气发电有限公司</w:t>
      </w:r>
      <w:r>
        <w:rPr>
          <w:rFonts w:hint="eastAsia" w:ascii="仿宋_GB2312" w:hAnsi="仿宋_GB2312" w:eastAsia="仿宋_GB2312" w:cs="仿宋_GB2312"/>
          <w:sz w:val="28"/>
          <w:szCs w:val="28"/>
          <w:highlight w:val="none"/>
        </w:rPr>
        <w:t xml:space="preserve">。 </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2.2“采购人”系指 “采购单位”和“采购承办单位”的统称。</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kern w:val="2"/>
          <w:sz w:val="28"/>
          <w:szCs w:val="28"/>
          <w:highlight w:val="none"/>
          <w:lang w:val="en-US" w:eastAsia="zh-CN" w:bidi="ar-SA"/>
        </w:rPr>
        <w:t>2.3“响应人”系指购买了竞争性谈判文件拟参加谈判和向采购人提供相应服务的法人企业或其它组织。</w:t>
      </w:r>
    </w:p>
    <w:p>
      <w:pPr>
        <w:pStyle w:val="7"/>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562" w:firstLineChars="200"/>
        <w:textAlignment w:val="auto"/>
        <w:outlineLvl w:val="2"/>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合格</w:t>
      </w:r>
      <w:bookmarkEnd w:id="36"/>
      <w:bookmarkEnd w:id="37"/>
      <w:bookmarkEnd w:id="38"/>
      <w:bookmarkEnd w:id="39"/>
      <w:r>
        <w:rPr>
          <w:rFonts w:hint="eastAsia" w:ascii="仿宋_GB2312" w:hAnsi="仿宋_GB2312" w:eastAsia="仿宋_GB2312" w:cs="仿宋_GB2312"/>
          <w:sz w:val="28"/>
          <w:szCs w:val="28"/>
          <w:highlight w:val="none"/>
          <w:lang w:val="en-US" w:eastAsia="zh-CN"/>
        </w:rPr>
        <w:t>的响应人</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bookmarkStart w:id="40" w:name="_Toc183582208"/>
      <w:bookmarkStart w:id="41" w:name="_Toc183682345"/>
      <w:bookmarkStart w:id="42" w:name="_Toc217446037"/>
      <w:r>
        <w:rPr>
          <w:rFonts w:hint="eastAsia" w:ascii="仿宋_GB2312" w:hAnsi="仿宋_GB2312" w:eastAsia="仿宋_GB2312" w:cs="仿宋_GB2312"/>
          <w:sz w:val="28"/>
          <w:szCs w:val="28"/>
          <w:highlight w:val="none"/>
          <w:lang w:val="en-US" w:eastAsia="zh-CN"/>
        </w:rPr>
        <w:t>3.1</w:t>
      </w:r>
      <w:r>
        <w:rPr>
          <w:rFonts w:hint="eastAsia" w:ascii="仿宋_GB2312" w:hAnsi="仿宋_GB2312" w:eastAsia="仿宋_GB2312" w:cs="仿宋_GB2312"/>
          <w:sz w:val="28"/>
          <w:szCs w:val="28"/>
          <w:highlight w:val="none"/>
        </w:rPr>
        <w:t>竞谈响应人应遵守有关的国家法律、法规和条例，具备</w:t>
      </w:r>
      <w:r>
        <w:rPr>
          <w:rFonts w:hint="eastAsia" w:ascii="仿宋_GB2312" w:hAnsi="仿宋_GB2312" w:eastAsia="仿宋_GB2312" w:cs="仿宋_GB2312"/>
          <w:b/>
          <w:bCs/>
          <w:sz w:val="28"/>
          <w:szCs w:val="28"/>
          <w:highlight w:val="none"/>
          <w:lang w:val="en-US" w:eastAsia="zh-CN"/>
        </w:rPr>
        <w:t>第一章 竞争性谈判公告第二条</w:t>
      </w:r>
      <w:r>
        <w:rPr>
          <w:rFonts w:hint="eastAsia" w:ascii="仿宋_GB2312" w:hAnsi="仿宋_GB2312" w:eastAsia="仿宋_GB2312" w:cs="仿宋_GB2312"/>
          <w:b w:val="0"/>
          <w:bCs w:val="0"/>
          <w:sz w:val="28"/>
          <w:szCs w:val="28"/>
          <w:highlight w:val="none"/>
          <w:lang w:val="en-US" w:eastAsia="zh-CN"/>
        </w:rPr>
        <w:t>设置的相关</w:t>
      </w:r>
      <w:r>
        <w:rPr>
          <w:rFonts w:hint="eastAsia" w:ascii="仿宋_GB2312" w:hAnsi="仿宋_GB2312" w:eastAsia="仿宋_GB2312" w:cs="仿宋_GB2312"/>
          <w:b w:val="0"/>
          <w:bCs w:val="0"/>
          <w:sz w:val="28"/>
          <w:szCs w:val="28"/>
          <w:highlight w:val="none"/>
        </w:rPr>
        <w:t>条</w:t>
      </w:r>
      <w:r>
        <w:rPr>
          <w:rFonts w:hint="eastAsia" w:ascii="仿宋_GB2312" w:hAnsi="仿宋_GB2312" w:eastAsia="仿宋_GB2312" w:cs="仿宋_GB2312"/>
          <w:sz w:val="28"/>
          <w:szCs w:val="28"/>
          <w:highlight w:val="none"/>
        </w:rPr>
        <w:t>件</w:t>
      </w:r>
      <w:r>
        <w:rPr>
          <w:rFonts w:hint="eastAsia" w:ascii="仿宋_GB2312" w:hAnsi="仿宋_GB2312" w:eastAsia="仿宋_GB2312" w:cs="仿宋_GB2312"/>
          <w:sz w:val="28"/>
          <w:szCs w:val="28"/>
          <w:highlight w:val="none"/>
          <w:lang w:eastAsia="zh-CN"/>
        </w:rPr>
        <w:t>。</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3.2竞谈响应人必须是已在中国境内依法登记注册的响应人，并且其所持有的由工商行政管理部门所核发的有效的营业执照上载明的营业期限剩余时间应当不少于本次采购的相关合同基本义务履行所需期限，或已经提供相关证明材料能够证明具有履约能力。否则，采购人及谈判小组有权拒绝其本次报价。</w:t>
      </w:r>
    </w:p>
    <w:p>
      <w:pPr>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3.3依法注册的响应人其注册资金应足以保证本项目实施过程中的风险承担和赔付能力。</w:t>
      </w:r>
    </w:p>
    <w:p>
      <w:pPr>
        <w:pStyle w:val="24"/>
        <w:ind w:firstLine="560" w:firstLineChars="20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3.4法律、法规规定的履行本项目要求的其他条件。</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562" w:firstLineChars="200"/>
        <w:textAlignment w:val="auto"/>
        <w:outlineLvl w:val="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谈判费用</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谈判响应人</w:t>
      </w:r>
      <w:r>
        <w:rPr>
          <w:rFonts w:hint="eastAsia" w:ascii="仿宋_GB2312" w:hAnsi="仿宋_GB2312" w:eastAsia="仿宋_GB2312" w:cs="仿宋_GB2312"/>
          <w:sz w:val="28"/>
          <w:szCs w:val="28"/>
          <w:highlight w:val="none"/>
        </w:rPr>
        <w:t>应自行承担参加谈判活动的全部费用。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highlight w:val="none"/>
          <w:lang w:val="en-US" w:eastAsia="zh-CN"/>
        </w:rPr>
      </w:pPr>
      <w:bookmarkStart w:id="43" w:name="_Toc183582209"/>
      <w:bookmarkStart w:id="44" w:name="_Toc183682346"/>
      <w:bookmarkStart w:id="45" w:name="_Toc12421"/>
      <w:bookmarkStart w:id="46" w:name="_Toc89075875"/>
      <w:bookmarkStart w:id="47" w:name="_Toc77400779"/>
      <w:bookmarkStart w:id="48" w:name="_Toc217446038"/>
      <w:r>
        <w:rPr>
          <w:rFonts w:hint="eastAsia" w:ascii="黑体" w:hAnsi="黑体" w:eastAsia="黑体" w:cs="黑体"/>
          <w:b w:val="0"/>
          <w:bCs w:val="0"/>
          <w:sz w:val="28"/>
          <w:szCs w:val="28"/>
          <w:highlight w:val="none"/>
          <w:lang w:val="en-US" w:eastAsia="zh-CN"/>
        </w:rPr>
        <w:t>三、竞争性谈判文件</w:t>
      </w:r>
      <w:bookmarkEnd w:id="43"/>
      <w:bookmarkEnd w:id="44"/>
      <w:bookmarkEnd w:id="45"/>
      <w:bookmarkEnd w:id="46"/>
      <w:bookmarkEnd w:id="47"/>
      <w:bookmarkEnd w:id="48"/>
    </w:p>
    <w:p>
      <w:pPr>
        <w:pStyle w:val="7"/>
        <w:pageBreakBefore w:val="0"/>
        <w:widowControl w:val="0"/>
        <w:kinsoku/>
        <w:wordWrap/>
        <w:overflowPunct/>
        <w:topLinePunct w:val="0"/>
        <w:autoSpaceDE/>
        <w:autoSpaceDN/>
        <w:bidi w:val="0"/>
        <w:adjustRightInd/>
        <w:spacing w:before="0" w:after="0" w:line="560" w:lineRule="exact"/>
        <w:ind w:firstLine="562" w:firstLineChars="200"/>
        <w:textAlignment w:val="auto"/>
        <w:outlineLvl w:val="3"/>
        <w:rPr>
          <w:rFonts w:hint="eastAsia" w:ascii="仿宋_GB2312" w:hAnsi="仿宋_GB2312" w:eastAsia="仿宋_GB2312" w:cs="仿宋_GB2312"/>
          <w:sz w:val="28"/>
          <w:szCs w:val="28"/>
          <w:highlight w:val="none"/>
        </w:rPr>
      </w:pPr>
      <w:bookmarkStart w:id="49" w:name="_Toc325096471"/>
      <w:bookmarkStart w:id="50" w:name="_Toc317509389"/>
      <w:bookmarkStart w:id="51" w:name="_Toc325464820"/>
      <w:bookmarkStart w:id="52" w:name="_Toc317509236"/>
      <w:bookmarkStart w:id="53" w:name="_Toc217446039"/>
      <w:bookmarkStart w:id="54" w:name="_Toc183682347"/>
      <w:bookmarkStart w:id="55" w:name="_Toc183582210"/>
      <w:r>
        <w:rPr>
          <w:rFonts w:hint="eastAsia" w:ascii="仿宋_GB2312" w:hAnsi="仿宋_GB2312" w:eastAsia="仿宋_GB2312" w:cs="仿宋_GB2312"/>
          <w:sz w:val="28"/>
          <w:szCs w:val="28"/>
          <w:highlight w:val="none"/>
        </w:rPr>
        <w:t>5．竞争性谈判文件的构成</w:t>
      </w:r>
      <w:bookmarkEnd w:id="49"/>
      <w:bookmarkEnd w:id="50"/>
      <w:bookmarkEnd w:id="51"/>
      <w:bookmarkEnd w:id="52"/>
    </w:p>
    <w:p>
      <w:pPr>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z w:val="28"/>
          <w:szCs w:val="28"/>
          <w:highlight w:val="none"/>
        </w:rPr>
        <w:t>5.1 竞争性谈判文件用以阐明竞争性谈判项目所需的</w:t>
      </w:r>
      <w:r>
        <w:rPr>
          <w:rFonts w:hint="eastAsia" w:ascii="仿宋_GB2312" w:hAnsi="仿宋_GB2312" w:eastAsia="仿宋_GB2312" w:cs="仿宋_GB2312"/>
          <w:sz w:val="28"/>
          <w:szCs w:val="28"/>
          <w:highlight w:val="none"/>
          <w:lang w:val="en-US" w:eastAsia="zh-CN"/>
        </w:rPr>
        <w:t>人员</w:t>
      </w:r>
      <w:r>
        <w:rPr>
          <w:rFonts w:hint="eastAsia" w:ascii="仿宋_GB2312" w:hAnsi="仿宋_GB2312" w:eastAsia="仿宋_GB2312" w:cs="仿宋_GB2312"/>
          <w:sz w:val="28"/>
          <w:szCs w:val="28"/>
          <w:highlight w:val="none"/>
        </w:rPr>
        <w:t>、技术、服务及报价等要求、竞争性谈判程序、有关规定和注意事项以及合同主要条款等。本竞争性谈判文件包括</w:t>
      </w:r>
      <w:r>
        <w:rPr>
          <w:rFonts w:hint="eastAsia" w:ascii="仿宋_GB2312" w:hAnsi="仿宋_GB2312" w:eastAsia="仿宋_GB2312" w:cs="仿宋_GB2312"/>
          <w:spacing w:val="10"/>
          <w:sz w:val="28"/>
          <w:szCs w:val="28"/>
          <w:highlight w:val="none"/>
        </w:rPr>
        <w:t>以下内容：</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 xml:space="preserve">（1）竞争性谈判公告 </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（2）谈判须知及前附表</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（3）评审办法</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（4）合同条款及格式</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（5）采购人要求</w:t>
      </w:r>
    </w:p>
    <w:p>
      <w:pPr>
        <w:pageBreakBefore w:val="0"/>
        <w:widowControl w:val="0"/>
        <w:kinsoku/>
        <w:wordWrap/>
        <w:overflowPunct/>
        <w:topLinePunct w:val="0"/>
        <w:autoSpaceDE/>
        <w:autoSpaceDN/>
        <w:bidi w:val="0"/>
        <w:adjustRightInd/>
        <w:snapToGrid w:val="0"/>
        <w:spacing w:line="560" w:lineRule="exact"/>
        <w:ind w:firstLine="300" w:firstLineChars="100"/>
        <w:textAlignment w:val="auto"/>
        <w:outlineLvl w:val="9"/>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（6）响应文件格式</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5.2 响应人应认真阅读和充分理解竞争性谈判文件中所有的事项、格式条款和规范要求。响应人没有对竞争性谈判文件全面做出实质性响应是响应人的风险。没有按照竞争性谈判文件要求作出实质性响应的响应文件将被拒绝。</w:t>
      </w:r>
    </w:p>
    <w:bookmarkEnd w:id="53"/>
    <w:bookmarkEnd w:id="54"/>
    <w:bookmarkEnd w:id="55"/>
    <w:p>
      <w:pPr>
        <w:pStyle w:val="7"/>
        <w:keepNext w:val="0"/>
        <w:keepLines w:val="0"/>
        <w:pageBreakBefore w:val="0"/>
        <w:widowControl w:val="0"/>
        <w:kinsoku/>
        <w:wordWrap/>
        <w:overflowPunct/>
        <w:topLinePunct w:val="0"/>
        <w:autoSpaceDE/>
        <w:autoSpaceDN/>
        <w:bidi w:val="0"/>
        <w:adjustRightInd/>
        <w:spacing w:before="0" w:after="0" w:line="560" w:lineRule="exact"/>
        <w:ind w:firstLine="562" w:firstLineChars="200"/>
        <w:textAlignment w:val="auto"/>
        <w:outlineLvl w:val="3"/>
        <w:rPr>
          <w:rFonts w:hint="eastAsia" w:ascii="仿宋_GB2312" w:hAnsi="仿宋_GB2312" w:eastAsia="仿宋_GB2312" w:cs="仿宋_GB2312"/>
          <w:sz w:val="28"/>
          <w:szCs w:val="28"/>
          <w:highlight w:val="none"/>
        </w:rPr>
      </w:pPr>
      <w:bookmarkStart w:id="56" w:name="_Toc183582211"/>
      <w:bookmarkStart w:id="57" w:name="_Toc183682348"/>
      <w:bookmarkStart w:id="58" w:name="_Toc217446040"/>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 谈判文件的澄清</w:t>
      </w:r>
      <w:bookmarkEnd w:id="56"/>
      <w:bookmarkEnd w:id="57"/>
      <w:r>
        <w:rPr>
          <w:rFonts w:hint="eastAsia" w:ascii="仿宋_GB2312" w:hAnsi="仿宋_GB2312" w:eastAsia="仿宋_GB2312" w:cs="仿宋_GB2312"/>
          <w:sz w:val="28"/>
          <w:szCs w:val="28"/>
          <w:highlight w:val="none"/>
        </w:rPr>
        <w:t>和修改</w:t>
      </w:r>
      <w:bookmarkEnd w:id="58"/>
    </w:p>
    <w:p>
      <w:pPr>
        <w:pageBreakBefore w:val="0"/>
        <w:tabs>
          <w:tab w:val="left" w:pos="720"/>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bookmarkStart w:id="59" w:name="_Toc208848971"/>
      <w:bookmarkStart w:id="60" w:name="_Toc217446041"/>
      <w:r>
        <w:rPr>
          <w:rFonts w:hint="eastAsia" w:ascii="仿宋_GB2312" w:hAnsi="仿宋_GB2312" w:eastAsia="仿宋_GB2312" w:cs="仿宋_GB2312"/>
          <w:sz w:val="28"/>
          <w:szCs w:val="28"/>
          <w:highlight w:val="none"/>
        </w:rPr>
        <w:t>6.1 在谈判截止时间前，采购人无论出于何种原因，可以对竞争性谈判文件进行澄清或者修改。</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6.2在谈判期间，谈判小组根据实际谈判情况，可以对竞争性谈判文件进行澄清或者修改。</w:t>
      </w:r>
    </w:p>
    <w:bookmarkEnd w:id="59"/>
    <w:bookmarkEnd w:id="60"/>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61" w:name="_Toc183582213"/>
      <w:bookmarkStart w:id="62" w:name="_Toc183682350"/>
      <w:bookmarkStart w:id="63" w:name="_Toc317509391"/>
      <w:bookmarkStart w:id="64" w:name="_Toc325096473"/>
      <w:bookmarkStart w:id="65" w:name="_Toc317509238"/>
      <w:bookmarkStart w:id="66" w:name="_Toc325464822"/>
      <w:r>
        <w:rPr>
          <w:rFonts w:hint="eastAsia" w:ascii="仿宋_GB2312" w:hAnsi="仿宋_GB2312" w:eastAsia="仿宋_GB2312" w:cs="仿宋_GB2312"/>
          <w:sz w:val="28"/>
          <w:szCs w:val="28"/>
          <w:highlight w:val="none"/>
        </w:rPr>
        <w:t>7</w:t>
      </w:r>
      <w:bookmarkEnd w:id="61"/>
      <w:bookmarkEnd w:id="62"/>
      <w:r>
        <w:rPr>
          <w:rFonts w:hint="eastAsia" w:ascii="仿宋_GB2312" w:hAnsi="仿宋_GB2312" w:eastAsia="仿宋_GB2312" w:cs="仿宋_GB2312"/>
          <w:sz w:val="28"/>
          <w:szCs w:val="28"/>
          <w:highlight w:val="none"/>
        </w:rPr>
        <w:t>. 答疑会</w:t>
      </w:r>
      <w:bookmarkEnd w:id="63"/>
      <w:bookmarkEnd w:id="64"/>
      <w:bookmarkEnd w:id="65"/>
      <w:bookmarkEnd w:id="66"/>
    </w:p>
    <w:p>
      <w:pPr>
        <w:pStyle w:val="10"/>
        <w:pageBreakBefore w:val="0"/>
        <w:kinsoku/>
        <w:wordWrap/>
        <w:overflowPunct/>
        <w:topLinePunct w:val="0"/>
        <w:bidi w:val="0"/>
        <w:adjustRightInd/>
        <w:spacing w:after="0" w:line="560" w:lineRule="exact"/>
        <w:rPr>
          <w:rFonts w:hint="eastAsia"/>
          <w:sz w:val="28"/>
          <w:szCs w:val="28"/>
        </w:rPr>
      </w:pPr>
      <w:r>
        <w:rPr>
          <w:rFonts w:hint="eastAsia" w:ascii="仿宋_GB2312" w:hAnsi="仿宋_GB2312" w:eastAsia="仿宋_GB2312" w:cs="仿宋_GB2312"/>
          <w:sz w:val="28"/>
          <w:szCs w:val="28"/>
          <w:highlight w:val="none"/>
        </w:rPr>
        <w:t>7.1 根据采购项目和具体情况，若有必要召开，将以书面形式通知所有购买了竞争性谈判文件的响应人。</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2" w:firstLineChars="200"/>
        <w:jc w:val="both"/>
        <w:textAlignment w:val="auto"/>
        <w:outlineLvl w:val="1"/>
        <w:rPr>
          <w:rFonts w:hint="eastAsia" w:ascii="仿宋_GB2312" w:hAnsi="仿宋_GB2312" w:eastAsia="仿宋_GB2312" w:cs="仿宋_GB2312"/>
          <w:bCs w:val="0"/>
          <w:sz w:val="28"/>
          <w:szCs w:val="28"/>
          <w:highlight w:val="none"/>
        </w:rPr>
      </w:pPr>
      <w:bookmarkStart w:id="67" w:name="_Toc31130"/>
      <w:r>
        <w:rPr>
          <w:rFonts w:hint="eastAsia" w:ascii="仿宋_GB2312" w:hAnsi="仿宋_GB2312" w:eastAsia="仿宋_GB2312" w:cs="仿宋_GB2312"/>
          <w:bCs w:val="0"/>
          <w:sz w:val="28"/>
          <w:szCs w:val="28"/>
          <w:highlight w:val="none"/>
        </w:rPr>
        <w:t>四、响应文件</w:t>
      </w:r>
      <w:bookmarkEnd w:id="67"/>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68" w:name="_Toc183682352"/>
      <w:bookmarkStart w:id="69" w:name="_Toc325464824"/>
      <w:bookmarkStart w:id="70" w:name="_Toc317509240"/>
      <w:bookmarkStart w:id="71" w:name="_Toc217446043"/>
      <w:bookmarkStart w:id="72" w:name="_Toc183582215"/>
      <w:bookmarkStart w:id="73" w:name="_Toc325096475"/>
      <w:bookmarkStart w:id="74" w:name="_Toc317509393"/>
      <w:r>
        <w:rPr>
          <w:rFonts w:hint="eastAsia" w:ascii="仿宋_GB2312" w:hAnsi="仿宋_GB2312" w:eastAsia="仿宋_GB2312" w:cs="仿宋_GB2312"/>
          <w:sz w:val="28"/>
          <w:szCs w:val="28"/>
          <w:highlight w:val="none"/>
        </w:rPr>
        <w:t>8．响应文件的语言</w:t>
      </w:r>
      <w:bookmarkEnd w:id="68"/>
      <w:bookmarkEnd w:id="69"/>
      <w:bookmarkEnd w:id="70"/>
      <w:bookmarkEnd w:id="71"/>
      <w:bookmarkEnd w:id="72"/>
      <w:bookmarkEnd w:id="73"/>
      <w:bookmarkEnd w:id="74"/>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8.1 响应人提交的响应文件以及响应人与采购人就有关谈判的所有来往书面文件均须使用中文。响应文件中如附有外文资料，必须逐一对应翻译成中文并加盖响应人公章后附在相关外文资料后面。</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75" w:name="_Toc317509394"/>
      <w:bookmarkStart w:id="76" w:name="_Toc217446044"/>
      <w:bookmarkStart w:id="77" w:name="_Toc325464825"/>
      <w:bookmarkStart w:id="78" w:name="_Toc317509241"/>
      <w:bookmarkStart w:id="79" w:name="_Toc183582216"/>
      <w:bookmarkStart w:id="80" w:name="_Toc325096476"/>
      <w:bookmarkStart w:id="81" w:name="_Toc183682353"/>
      <w:r>
        <w:rPr>
          <w:rFonts w:hint="eastAsia" w:ascii="仿宋_GB2312" w:hAnsi="仿宋_GB2312" w:eastAsia="仿宋_GB2312" w:cs="仿宋_GB2312"/>
          <w:sz w:val="28"/>
          <w:szCs w:val="28"/>
          <w:highlight w:val="none"/>
        </w:rPr>
        <w:t>9．计量单位</w:t>
      </w:r>
      <w:bookmarkEnd w:id="75"/>
      <w:bookmarkEnd w:id="76"/>
      <w:bookmarkEnd w:id="77"/>
      <w:bookmarkEnd w:id="78"/>
      <w:bookmarkEnd w:id="79"/>
      <w:bookmarkEnd w:id="80"/>
      <w:bookmarkEnd w:id="81"/>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9.1除技术规格及要求中另有规定外，本采购项目的谈判均采用国家法定的计量单位。</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82" w:name="_Toc317509395"/>
      <w:bookmarkStart w:id="83" w:name="_Toc325096477"/>
      <w:bookmarkStart w:id="84" w:name="_Toc317509242"/>
      <w:bookmarkStart w:id="85" w:name="_Toc217446045"/>
      <w:bookmarkStart w:id="86" w:name="_Toc325464826"/>
      <w:r>
        <w:rPr>
          <w:rFonts w:hint="eastAsia" w:ascii="仿宋_GB2312" w:hAnsi="仿宋_GB2312" w:eastAsia="仿宋_GB2312" w:cs="仿宋_GB2312"/>
          <w:sz w:val="28"/>
          <w:szCs w:val="28"/>
          <w:highlight w:val="none"/>
        </w:rPr>
        <w:t>10. 谈判货币</w:t>
      </w:r>
      <w:bookmarkEnd w:id="82"/>
      <w:bookmarkEnd w:id="83"/>
      <w:bookmarkEnd w:id="84"/>
      <w:bookmarkEnd w:id="85"/>
      <w:bookmarkEnd w:id="86"/>
    </w:p>
    <w:p>
      <w:pPr>
        <w:pageBreakBefore w:val="0"/>
        <w:tabs>
          <w:tab w:val="left" w:pos="7665"/>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10.1本次竞争性谈判项目的谈判均以人民币报价。</w:t>
      </w:r>
      <w:bookmarkStart w:id="87" w:name="_Toc217446046"/>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88" w:name="_Toc325464827"/>
      <w:bookmarkStart w:id="89" w:name="_Toc317509243"/>
      <w:bookmarkStart w:id="90" w:name="_Toc317509396"/>
      <w:bookmarkStart w:id="91" w:name="_Toc325096478"/>
      <w:r>
        <w:rPr>
          <w:rFonts w:hint="eastAsia" w:ascii="仿宋_GB2312" w:hAnsi="仿宋_GB2312" w:eastAsia="仿宋_GB2312" w:cs="仿宋_GB2312"/>
          <w:sz w:val="28"/>
          <w:szCs w:val="28"/>
          <w:highlight w:val="none"/>
        </w:rPr>
        <w:t>11．联合谈判</w:t>
      </w:r>
      <w:bookmarkEnd w:id="87"/>
      <w:bookmarkEnd w:id="88"/>
      <w:bookmarkEnd w:id="89"/>
      <w:bookmarkEnd w:id="90"/>
      <w:bookmarkEnd w:id="91"/>
    </w:p>
    <w:p>
      <w:pPr>
        <w:pageBreakBefore w:val="0"/>
        <w:tabs>
          <w:tab w:val="left" w:pos="7665"/>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11.1不允许联合体参与谈判</w:t>
      </w:r>
      <w:bookmarkStart w:id="92" w:name="_Toc217446047"/>
      <w:r>
        <w:rPr>
          <w:rFonts w:hint="eastAsia" w:ascii="仿宋_GB2312" w:hAnsi="仿宋_GB2312" w:eastAsia="仿宋_GB2312" w:cs="仿宋_GB2312"/>
          <w:sz w:val="28"/>
          <w:szCs w:val="28"/>
          <w:highlight w:val="none"/>
          <w:lang w:eastAsia="zh-CN"/>
        </w:rPr>
        <w:t>。</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93" w:name="_Toc317509397"/>
      <w:bookmarkStart w:id="94" w:name="_Toc325464828"/>
      <w:bookmarkStart w:id="95" w:name="_Toc325096479"/>
      <w:bookmarkStart w:id="96" w:name="_Toc317509244"/>
      <w:r>
        <w:rPr>
          <w:rFonts w:hint="eastAsia" w:ascii="仿宋_GB2312" w:hAnsi="仿宋_GB2312" w:eastAsia="仿宋_GB2312" w:cs="仿宋_GB2312"/>
          <w:sz w:val="28"/>
          <w:szCs w:val="28"/>
          <w:highlight w:val="none"/>
        </w:rPr>
        <w:t>12．知识产权</w:t>
      </w:r>
      <w:bookmarkEnd w:id="92"/>
      <w:bookmarkEnd w:id="93"/>
      <w:bookmarkEnd w:id="94"/>
      <w:bookmarkEnd w:id="95"/>
      <w:bookmarkEnd w:id="96"/>
    </w:p>
    <w:p>
      <w:pPr>
        <w:pStyle w:val="3"/>
        <w:pageBreakBefore w:val="0"/>
        <w:kinsoku/>
        <w:wordWrap/>
        <w:overflowPunct/>
        <w:topLinePunct w:val="0"/>
        <w:bidi w:val="0"/>
        <w:adjustRightInd/>
        <w:spacing w:line="5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12.1 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r>
        <w:rPr>
          <w:rFonts w:hint="eastAsia" w:ascii="仿宋_GB2312" w:hAnsi="仿宋_GB2312" w:eastAsia="仿宋_GB2312" w:cs="仿宋_GB2312"/>
          <w:sz w:val="28"/>
          <w:szCs w:val="28"/>
          <w:highlight w:val="none"/>
          <w:lang w:eastAsia="zh-CN"/>
        </w:rPr>
        <w:t>，因本项目履行所形成的知识产权属采购人所有</w:t>
      </w:r>
      <w:r>
        <w:rPr>
          <w:rFonts w:hint="eastAsia" w:ascii="仿宋_GB2312" w:hAnsi="仿宋_GB2312" w:eastAsia="仿宋_GB2312" w:cs="仿宋_GB2312"/>
          <w:sz w:val="28"/>
          <w:szCs w:val="28"/>
          <w:highlight w:val="none"/>
        </w:rPr>
        <w:t>。</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97" w:name="_Toc317509398"/>
      <w:bookmarkStart w:id="98" w:name="_Toc317509245"/>
      <w:bookmarkStart w:id="99" w:name="_Toc183682354"/>
      <w:bookmarkStart w:id="100" w:name="_Toc325096480"/>
      <w:bookmarkStart w:id="101" w:name="_Toc217446048"/>
      <w:bookmarkStart w:id="102" w:name="_Toc325464829"/>
      <w:bookmarkStart w:id="103" w:name="_Toc183582217"/>
      <w:r>
        <w:rPr>
          <w:rFonts w:hint="eastAsia" w:ascii="仿宋_GB2312" w:hAnsi="仿宋_GB2312" w:eastAsia="仿宋_GB2312" w:cs="仿宋_GB2312"/>
          <w:sz w:val="28"/>
          <w:szCs w:val="28"/>
          <w:highlight w:val="none"/>
        </w:rPr>
        <w:t>13．响应文件的组成</w:t>
      </w:r>
      <w:bookmarkEnd w:id="97"/>
      <w:bookmarkEnd w:id="98"/>
      <w:bookmarkEnd w:id="99"/>
      <w:bookmarkEnd w:id="100"/>
      <w:bookmarkEnd w:id="101"/>
      <w:bookmarkEnd w:id="102"/>
      <w:bookmarkEnd w:id="103"/>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13.1响应人应按照竞争性谈判文件的规定和要求编制响应文件。响应人拟在成交后将成交项目的非主体、非关键性工作交由他人完成的，应当在响应文件中载明。响应人编写的响应文件应包括下列部分：</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bookmarkStart w:id="104" w:name="_Toc325096481"/>
      <w:bookmarkStart w:id="105" w:name="_Toc183582218"/>
      <w:bookmarkStart w:id="106" w:name="_Toc317509399"/>
      <w:bookmarkStart w:id="107" w:name="_Toc183682355"/>
      <w:bookmarkStart w:id="108" w:name="_Toc325464830"/>
      <w:bookmarkStart w:id="109" w:name="_Toc217446049"/>
      <w:bookmarkStart w:id="110" w:name="_Toc317509246"/>
      <w:r>
        <w:rPr>
          <w:rFonts w:hint="eastAsia" w:ascii="仿宋_GB2312" w:hAnsi="仿宋_GB2312" w:eastAsia="仿宋_GB2312" w:cs="仿宋_GB2312"/>
          <w:sz w:val="28"/>
          <w:szCs w:val="28"/>
          <w:highlight w:val="none"/>
        </w:rPr>
        <w:t>谈判响应函</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法定代表人证明书</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法定代表人授权书</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响应人基本情况表</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近年完成的类似项目情况表</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承诺函</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其他内容</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14．响应文件格式</w:t>
      </w:r>
      <w:bookmarkEnd w:id="104"/>
      <w:bookmarkEnd w:id="105"/>
      <w:bookmarkEnd w:id="106"/>
      <w:bookmarkEnd w:id="107"/>
      <w:bookmarkEnd w:id="108"/>
      <w:bookmarkEnd w:id="109"/>
      <w:bookmarkEnd w:id="110"/>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bookmarkStart w:id="111" w:name="_Toc183582223"/>
      <w:bookmarkStart w:id="112" w:name="_Toc183682360"/>
      <w:bookmarkStart w:id="113" w:name="_Toc217446050"/>
      <w:r>
        <w:rPr>
          <w:rFonts w:hint="eastAsia" w:ascii="仿宋_GB2312" w:hAnsi="仿宋_GB2312" w:eastAsia="仿宋_GB2312" w:cs="仿宋_GB2312"/>
          <w:sz w:val="28"/>
          <w:szCs w:val="28"/>
          <w:highlight w:val="none"/>
        </w:rPr>
        <w:t>14.1响应人应严格按照竞争性谈判文件第六章中提供的“响应文件格式”填写相关内容。除明确允许响应人可以自行编写的外，响应人不得以“响应文件格式”规定之外的方式填写相关内容。若《谈判响应函》、《法定代表人授权书》未签字和加盖响应人公章(鲜章)的，视为无效竞标。</w:t>
      </w:r>
    </w:p>
    <w:bookmarkEnd w:id="111"/>
    <w:bookmarkEnd w:id="112"/>
    <w:bookmarkEnd w:id="113"/>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14" w:name="_Toc183682361"/>
      <w:bookmarkStart w:id="115" w:name="_Toc325464834"/>
      <w:bookmarkStart w:id="116" w:name="_Toc217446051"/>
      <w:bookmarkStart w:id="117" w:name="_Toc325096485"/>
      <w:bookmarkStart w:id="118" w:name="_Toc183582224"/>
      <w:bookmarkStart w:id="119" w:name="_Toc317509250"/>
      <w:bookmarkStart w:id="120" w:name="_Toc317509403"/>
      <w:r>
        <w:rPr>
          <w:rFonts w:hint="eastAsia" w:ascii="仿宋_GB2312" w:hAnsi="仿宋_GB2312" w:eastAsia="仿宋_GB2312" w:cs="仿宋_GB2312"/>
          <w:sz w:val="28"/>
          <w:szCs w:val="28"/>
          <w:highlight w:val="none"/>
        </w:rPr>
        <w:t>15．谈判有效期</w:t>
      </w:r>
      <w:bookmarkEnd w:id="114"/>
      <w:bookmarkEnd w:id="115"/>
      <w:bookmarkEnd w:id="116"/>
      <w:bookmarkEnd w:id="117"/>
      <w:bookmarkEnd w:id="118"/>
      <w:bookmarkEnd w:id="119"/>
      <w:bookmarkEnd w:id="120"/>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15.1 谈判有效期见谈判须知前附表。谈判有效期短于此规定期限的谈判，将被拒绝。</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15.2 特殊情况下，采购人可于谈判有效期满之前要求响应人同意延长有效期，要求与答复均应为书面形式。</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21" w:name="_Toc183582225"/>
      <w:bookmarkStart w:id="122" w:name="_Toc183682362"/>
      <w:bookmarkStart w:id="123" w:name="_Toc325464835"/>
      <w:bookmarkStart w:id="124" w:name="_Toc317509251"/>
      <w:bookmarkStart w:id="125" w:name="_Toc217446052"/>
      <w:bookmarkStart w:id="126" w:name="_Toc325096486"/>
      <w:bookmarkStart w:id="127" w:name="_Toc317509404"/>
      <w:r>
        <w:rPr>
          <w:rFonts w:hint="eastAsia" w:ascii="仿宋_GB2312" w:hAnsi="仿宋_GB2312" w:eastAsia="仿宋_GB2312" w:cs="仿宋_GB2312"/>
          <w:sz w:val="28"/>
          <w:szCs w:val="28"/>
          <w:highlight w:val="none"/>
        </w:rPr>
        <w:t>16．响应文件的印制和签署</w:t>
      </w:r>
      <w:bookmarkEnd w:id="121"/>
      <w:bookmarkEnd w:id="122"/>
      <w:bookmarkEnd w:id="123"/>
      <w:bookmarkEnd w:id="124"/>
      <w:bookmarkEnd w:id="125"/>
      <w:bookmarkEnd w:id="126"/>
      <w:bookmarkEnd w:id="127"/>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16.1 响应人应按“谈判须知前附表”准备响应文件正本、副本、电子文档。响应文件的正本和副本应在其封面右上角清楚地标明“正本”或“副本”字样。若正本和副本有不一致的内容，以正本书面响应文件为准。</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16.2 响应文件的正本和副本均需打印或用不褪色、不变质的墨水书写，并由响应人的法定代表人或其授权代表在规定签章处签字和盖鲜章。</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16.3 响应文件的打印和书写应清楚工整，任何行间插字、涂改或增删，必须由响应人的法定代表人或其授权代表签字或盖个人印鉴。字迹潦草、表达不清或可能导致非唯一理解的响应文件可能视为无效谈判。</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16.4 响应文件应根据竞争性谈判文件的要求制作，签署、盖章和内容应完整。</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16.5 响应文件统一用A4幅面纸印制。</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28" w:name="_Toc77400781"/>
      <w:bookmarkStart w:id="129" w:name="_Toc89075877"/>
      <w:bookmarkStart w:id="130" w:name="_Toc183682363"/>
      <w:bookmarkStart w:id="131" w:name="_Toc183582226"/>
      <w:bookmarkStart w:id="132" w:name="_Toc317509405"/>
      <w:bookmarkStart w:id="133" w:name="_Toc317509252"/>
      <w:bookmarkStart w:id="134" w:name="_Toc325096487"/>
      <w:bookmarkStart w:id="135" w:name="_Toc325464836"/>
      <w:bookmarkStart w:id="136" w:name="_Toc217446053"/>
      <w:r>
        <w:rPr>
          <w:rFonts w:hint="eastAsia" w:ascii="仿宋_GB2312" w:hAnsi="仿宋_GB2312" w:eastAsia="仿宋_GB2312" w:cs="仿宋_GB2312"/>
          <w:sz w:val="28"/>
          <w:szCs w:val="28"/>
          <w:highlight w:val="none"/>
        </w:rPr>
        <w:t>17. 响应文件的密封和标</w:t>
      </w:r>
      <w:bookmarkEnd w:id="128"/>
      <w:bookmarkEnd w:id="129"/>
      <w:bookmarkEnd w:id="130"/>
      <w:bookmarkEnd w:id="131"/>
      <w:r>
        <w:rPr>
          <w:rFonts w:hint="eastAsia" w:ascii="仿宋_GB2312" w:hAnsi="仿宋_GB2312" w:eastAsia="仿宋_GB2312" w:cs="仿宋_GB2312"/>
          <w:sz w:val="28"/>
          <w:szCs w:val="28"/>
          <w:highlight w:val="none"/>
        </w:rPr>
        <w:t>注</w:t>
      </w:r>
      <w:bookmarkEnd w:id="132"/>
      <w:bookmarkEnd w:id="133"/>
      <w:bookmarkEnd w:id="134"/>
      <w:bookmarkEnd w:id="135"/>
      <w:bookmarkEnd w:id="136"/>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17.1 响应人应在响应文件正本和所有副本的封面上注明响应人名称、项目名称。</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17.2响应文件正本、所有副本、电子文档应分别封装于不同的密封袋内，密封袋上应分别标上“正本”、“副本”、 “电子文档”字样。</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17.3 所有外层密封袋的封口处应粘贴牢固，密封袋上注明响应人名称、项目名称、及谈判日期，并加盖密封章(响应人公章)。</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17.4 未按以上要求进行密封和标注的响应文件将被拒绝。</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37" w:name="_Toc317509406"/>
      <w:bookmarkStart w:id="138" w:name="_Toc317509253"/>
      <w:bookmarkStart w:id="139" w:name="_Toc325096488"/>
      <w:bookmarkStart w:id="140" w:name="_Toc325464837"/>
      <w:r>
        <w:rPr>
          <w:rFonts w:hint="eastAsia" w:ascii="仿宋_GB2312" w:hAnsi="仿宋_GB2312" w:eastAsia="仿宋_GB2312" w:cs="仿宋_GB2312"/>
          <w:sz w:val="28"/>
          <w:szCs w:val="28"/>
          <w:highlight w:val="none"/>
        </w:rPr>
        <w:t>18. 响应文件的递交</w:t>
      </w:r>
      <w:bookmarkEnd w:id="137"/>
      <w:bookmarkEnd w:id="138"/>
      <w:bookmarkEnd w:id="139"/>
      <w:bookmarkEnd w:id="140"/>
    </w:p>
    <w:p>
      <w:pPr>
        <w:pStyle w:val="6"/>
        <w:pageBreakBefore w:val="0"/>
        <w:kinsoku/>
        <w:wordWrap/>
        <w:overflowPunct/>
        <w:topLinePunct w:val="0"/>
        <w:bidi w:val="0"/>
        <w:adjustRightInd/>
        <w:spacing w:line="560" w:lineRule="exact"/>
        <w:ind w:firstLine="560" w:firstLineChars="200"/>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18.1 响应人应在竞争性谈判文件规定的时间和地点递交响应文件；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仿宋" w:hAnsi="仿宋" w:eastAsia="仿宋" w:cs="仿宋"/>
          <w:sz w:val="28"/>
          <w:szCs w:val="28"/>
          <w:highlight w:val="none"/>
        </w:rPr>
      </w:pPr>
      <w:r>
        <w:rPr>
          <w:rFonts w:hint="eastAsia" w:ascii="仿宋_GB2312" w:hAnsi="仿宋_GB2312" w:eastAsia="仿宋_GB2312" w:cs="仿宋_GB2312"/>
          <w:sz w:val="28"/>
          <w:szCs w:val="28"/>
          <w:highlight w:val="none"/>
        </w:rPr>
        <w:t>18.2 本次竞争性谈判不接受邮寄的响应文件。</w:t>
      </w:r>
      <w:bookmarkEnd w:id="40"/>
      <w:bookmarkEnd w:id="41"/>
      <w:bookmarkEnd w:id="42"/>
      <w:bookmarkStart w:id="141" w:name="_Toc183582214"/>
      <w:bookmarkStart w:id="142" w:name="_Toc77400780"/>
      <w:bookmarkStart w:id="143" w:name="_Toc217446042"/>
      <w:bookmarkStart w:id="144" w:name="_Toc89075876"/>
      <w:bookmarkStart w:id="145" w:name="_Toc183682351"/>
    </w:p>
    <w:bookmarkEnd w:id="141"/>
    <w:bookmarkEnd w:id="142"/>
    <w:bookmarkEnd w:id="143"/>
    <w:bookmarkEnd w:id="144"/>
    <w:bookmarkEnd w:id="145"/>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default" w:ascii="黑体" w:hAnsi="黑体" w:eastAsia="黑体" w:cs="黑体"/>
          <w:b w:val="0"/>
          <w:bCs w:val="0"/>
          <w:sz w:val="28"/>
          <w:szCs w:val="28"/>
          <w:highlight w:val="none"/>
          <w:lang w:val="en-US" w:eastAsia="zh-CN"/>
        </w:rPr>
      </w:pPr>
      <w:bookmarkStart w:id="146" w:name="_Toc24430"/>
      <w:r>
        <w:rPr>
          <w:rFonts w:hint="eastAsia" w:ascii="黑体" w:hAnsi="黑体" w:eastAsia="黑体" w:cs="黑体"/>
          <w:b w:val="0"/>
          <w:bCs w:val="0"/>
          <w:sz w:val="28"/>
          <w:szCs w:val="28"/>
          <w:highlight w:val="none"/>
          <w:lang w:val="en-US" w:eastAsia="zh-CN"/>
        </w:rPr>
        <w:t>五、谈判办法</w:t>
      </w:r>
      <w:bookmarkEnd w:id="146"/>
    </w:p>
    <w:p>
      <w:pPr>
        <w:pageBreakBefore w:val="0"/>
        <w:widowControl/>
        <w:kinsoku/>
        <w:wordWrap/>
        <w:overflowPunct/>
        <w:topLinePunct w:val="0"/>
        <w:autoSpaceDE w:val="0"/>
        <w:autoSpaceDN w:val="0"/>
        <w:bidi w:val="0"/>
        <w:adjustRightInd/>
        <w:spacing w:line="560" w:lineRule="exact"/>
        <w:ind w:firstLine="562" w:firstLineChars="200"/>
        <w:textAlignment w:val="bottom"/>
        <w:outlineLvl w:val="3"/>
        <w:rPr>
          <w:rFonts w:hint="eastAsia" w:ascii="仿宋_GB2312" w:hAnsi="仿宋_GB2312" w:eastAsia="仿宋_GB2312" w:cs="仿宋_GB2312"/>
          <w:b/>
          <w:sz w:val="28"/>
          <w:szCs w:val="28"/>
          <w:highlight w:val="none"/>
        </w:rPr>
      </w:pPr>
      <w:bookmarkStart w:id="147" w:name="_Toc317509255"/>
      <w:bookmarkStart w:id="148" w:name="_Toc325464839"/>
      <w:bookmarkStart w:id="149" w:name="_Toc325096490"/>
      <w:bookmarkStart w:id="150" w:name="_Toc317509408"/>
      <w:r>
        <w:rPr>
          <w:rFonts w:hint="eastAsia" w:ascii="仿宋_GB2312" w:hAnsi="仿宋_GB2312" w:eastAsia="仿宋_GB2312" w:cs="仿宋_GB2312"/>
          <w:b/>
          <w:sz w:val="28"/>
          <w:szCs w:val="28"/>
          <w:highlight w:val="none"/>
        </w:rPr>
        <w:t>19.谈判流程</w:t>
      </w:r>
      <w:bookmarkEnd w:id="147"/>
      <w:bookmarkEnd w:id="148"/>
      <w:bookmarkEnd w:id="149"/>
      <w:bookmarkEnd w:id="150"/>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19.1谈判按竞争性谈判文件规定的时间和地点进行。响应人须有法人或法人授权代表参加并签到，并对所递交的响应文件进行密封性检查和签字确认。</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19.2谈判小组对响应人提交的响应文件进行符合性评审、资格审查及响应性评审。</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19.3谈判小组按照抽签顺序分别与合格的响应人进行谈判。</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19.4合格的响应人可进行二次报价，作为最终报价。</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sz w:val="28"/>
          <w:szCs w:val="28"/>
          <w:highlight w:val="none"/>
          <w:lang w:val="zh-CN"/>
        </w:rPr>
        <w:t>19.5谈判小组</w:t>
      </w:r>
      <w:r>
        <w:rPr>
          <w:rFonts w:hint="eastAsia" w:ascii="仿宋_GB2312" w:hAnsi="仿宋_GB2312" w:eastAsia="仿宋_GB2312" w:cs="仿宋_GB2312"/>
          <w:kern w:val="0"/>
          <w:sz w:val="28"/>
          <w:szCs w:val="28"/>
          <w:highlight w:val="none"/>
        </w:rPr>
        <w:t>按照响应人中综合得分最高的原则，推荐成交候选人。</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zh-CN"/>
        </w:rPr>
        <w:t>19.6采购人</w:t>
      </w:r>
      <w:r>
        <w:rPr>
          <w:rFonts w:hint="eastAsia" w:ascii="仿宋_GB2312" w:hAnsi="仿宋_GB2312" w:eastAsia="仿宋_GB2312" w:cs="仿宋_GB2312"/>
          <w:sz w:val="28"/>
          <w:szCs w:val="28"/>
          <w:highlight w:val="none"/>
        </w:rPr>
        <w:t>按照谈判小组推荐成交候选人的顺序确定成交人。</w:t>
      </w:r>
    </w:p>
    <w:p>
      <w:pPr>
        <w:pageBreakBefore w:val="0"/>
        <w:widowControl/>
        <w:kinsoku/>
        <w:wordWrap/>
        <w:overflowPunct/>
        <w:topLinePunct w:val="0"/>
        <w:autoSpaceDE w:val="0"/>
        <w:autoSpaceDN w:val="0"/>
        <w:bidi w:val="0"/>
        <w:adjustRightInd/>
        <w:spacing w:line="560" w:lineRule="exact"/>
        <w:ind w:firstLine="562" w:firstLineChars="200"/>
        <w:textAlignment w:val="bottom"/>
        <w:outlineLvl w:val="3"/>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20.谈判内容和方式</w:t>
      </w:r>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20.1本次竞争性谈判采用两轮谈判和最终报价的方式进行。</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z w:val="28"/>
          <w:szCs w:val="28"/>
          <w:highlight w:val="none"/>
        </w:rPr>
      </w:pPr>
      <w:bookmarkStart w:id="151" w:name="_Toc222556814"/>
      <w:bookmarkStart w:id="152" w:name="_Toc128798589"/>
      <w:bookmarkStart w:id="153" w:name="_Toc124734974"/>
      <w:bookmarkStart w:id="154" w:name="_Toc124576324"/>
      <w:bookmarkStart w:id="155" w:name="_Toc128798479"/>
      <w:r>
        <w:rPr>
          <w:rFonts w:hint="eastAsia" w:ascii="仿宋_GB2312" w:hAnsi="仿宋_GB2312" w:eastAsia="仿宋_GB2312" w:cs="仿宋_GB2312"/>
          <w:spacing w:val="10"/>
          <w:sz w:val="28"/>
          <w:szCs w:val="28"/>
          <w:highlight w:val="none"/>
        </w:rPr>
        <w:t>（1）</w:t>
      </w:r>
      <w:r>
        <w:rPr>
          <w:rFonts w:hint="eastAsia" w:ascii="仿宋_GB2312" w:hAnsi="仿宋_GB2312" w:eastAsia="仿宋_GB2312" w:cs="仿宋_GB2312"/>
          <w:sz w:val="28"/>
          <w:szCs w:val="28"/>
          <w:highlight w:val="none"/>
        </w:rPr>
        <w:t>谈判小组对响应人提交的响应文件进行符合性评审、资格审查及响应性评审；</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0"/>
          <w:sz w:val="28"/>
          <w:szCs w:val="28"/>
          <w:highlight w:val="none"/>
        </w:rPr>
        <w:t>（2）</w:t>
      </w:r>
      <w:r>
        <w:rPr>
          <w:rFonts w:hint="eastAsia" w:ascii="仿宋_GB2312" w:hAnsi="仿宋_GB2312" w:eastAsia="仿宋_GB2312" w:cs="仿宋_GB2312"/>
          <w:sz w:val="28"/>
          <w:szCs w:val="28"/>
          <w:highlight w:val="none"/>
        </w:rPr>
        <w:t>确定谈判顺序</w:t>
      </w:r>
      <w:bookmarkEnd w:id="151"/>
      <w:bookmarkEnd w:id="152"/>
      <w:bookmarkEnd w:id="153"/>
      <w:bookmarkEnd w:id="154"/>
      <w:bookmarkEnd w:id="155"/>
    </w:p>
    <w:p>
      <w:pPr>
        <w:pageBreakBefore w:val="0"/>
        <w:widowControl/>
        <w:kinsoku/>
        <w:wordWrap/>
        <w:overflowPunct/>
        <w:topLinePunct w:val="0"/>
        <w:autoSpaceDE w:val="0"/>
        <w:autoSpaceDN w:val="0"/>
        <w:bidi w:val="0"/>
        <w:adjustRightInd/>
        <w:spacing w:line="560" w:lineRule="exact"/>
        <w:ind w:firstLine="560" w:firstLineChars="200"/>
        <w:textAlignment w:val="bottom"/>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通过符合性评审、资格审查及响应性评审的响应人，以抽签方式确定谈判顺序。</w:t>
      </w:r>
    </w:p>
    <w:p>
      <w:pPr>
        <w:pageBreakBefore w:val="0"/>
        <w:kinsoku/>
        <w:wordWrap/>
        <w:overflowPunct/>
        <w:topLinePunct w:val="0"/>
        <w:bidi w:val="0"/>
        <w:adjustRightInd/>
        <w:snapToGrid w:val="0"/>
        <w:spacing w:beforeAutospacing="0" w:afterAutospacing="0" w:line="560" w:lineRule="exact"/>
        <w:ind w:firstLine="600" w:firstLineChars="200"/>
        <w:rPr>
          <w:rFonts w:hint="eastAsia" w:ascii="仿宋_GB2312" w:hAnsi="仿宋_GB2312" w:eastAsia="仿宋_GB2312" w:cs="仿宋_GB2312"/>
          <w:sz w:val="28"/>
          <w:szCs w:val="28"/>
        </w:rPr>
      </w:pPr>
      <w:bookmarkStart w:id="156" w:name="_Toc222556815"/>
      <w:bookmarkStart w:id="157" w:name="_Toc128798480"/>
      <w:bookmarkStart w:id="158" w:name="_Toc124734975"/>
      <w:bookmarkStart w:id="159" w:name="_Toc124576325"/>
      <w:bookmarkStart w:id="160" w:name="_Toc128798590"/>
      <w:bookmarkStart w:id="161" w:name="_Toc23075"/>
      <w:r>
        <w:rPr>
          <w:rFonts w:hint="eastAsia" w:ascii="仿宋_GB2312" w:hAnsi="仿宋_GB2312" w:eastAsia="仿宋_GB2312" w:cs="仿宋_GB2312"/>
          <w:spacing w:val="10"/>
          <w:sz w:val="28"/>
          <w:szCs w:val="28"/>
        </w:rPr>
        <w:t>（3）</w:t>
      </w:r>
      <w:r>
        <w:rPr>
          <w:rFonts w:hint="eastAsia" w:ascii="仿宋_GB2312" w:hAnsi="仿宋_GB2312" w:eastAsia="仿宋_GB2312" w:cs="仿宋_GB2312"/>
          <w:sz w:val="28"/>
          <w:szCs w:val="28"/>
        </w:rPr>
        <w:t>第一轮谈判</w:t>
      </w:r>
      <w:bookmarkEnd w:id="156"/>
      <w:r>
        <w:rPr>
          <w:rFonts w:hint="eastAsia" w:ascii="仿宋_GB2312" w:hAnsi="仿宋_GB2312" w:eastAsia="仿宋_GB2312" w:cs="仿宋_GB2312"/>
          <w:sz w:val="28"/>
          <w:szCs w:val="28"/>
        </w:rPr>
        <w:t>（二次报价）</w:t>
      </w:r>
    </w:p>
    <w:bookmarkEnd w:id="157"/>
    <w:bookmarkEnd w:id="158"/>
    <w:bookmarkEnd w:id="159"/>
    <w:bookmarkEnd w:id="160"/>
    <w:p>
      <w:pPr>
        <w:pageBreakBefore w:val="0"/>
        <w:widowControl/>
        <w:kinsoku/>
        <w:wordWrap/>
        <w:overflowPunct/>
        <w:topLinePunct w:val="0"/>
        <w:autoSpaceDE w:val="0"/>
        <w:autoSpaceDN w:val="0"/>
        <w:bidi w:val="0"/>
        <w:adjustRightInd/>
        <w:spacing w:beforeAutospacing="0" w:afterAutospacing="0" w:line="560" w:lineRule="exact"/>
        <w:ind w:right="53" w:firstLine="560" w:firstLineChars="200"/>
        <w:textAlignment w:val="bottom"/>
        <w:rPr>
          <w:rFonts w:hint="eastAsia" w:ascii="仿宋_GB2312" w:hAnsi="仿宋_GB2312" w:eastAsia="仿宋_GB2312" w:cs="仿宋_GB2312"/>
          <w:sz w:val="28"/>
          <w:szCs w:val="28"/>
        </w:rPr>
      </w:pPr>
      <w:bookmarkStart w:id="162" w:name="_Toc124734978"/>
      <w:bookmarkStart w:id="163" w:name="_Toc128798593"/>
      <w:bookmarkStart w:id="164" w:name="_Toc128798483"/>
      <w:bookmarkStart w:id="165" w:name="_Toc124576328"/>
      <w:bookmarkStart w:id="166" w:name="_Toc222556817"/>
      <w:bookmarkStart w:id="167" w:name="_Toc113259749"/>
      <w:r>
        <w:rPr>
          <w:rFonts w:hint="eastAsia" w:ascii="仿宋_GB2312" w:hAnsi="仿宋_GB2312" w:eastAsia="仿宋_GB2312" w:cs="仿宋_GB2312"/>
          <w:sz w:val="28"/>
          <w:szCs w:val="28"/>
        </w:rPr>
        <w:t>合格的响应人就该项目的实施方案做出陈述，对项目做出二次报价</w:t>
      </w:r>
      <w:r>
        <w:rPr>
          <w:rFonts w:hint="eastAsia" w:ascii="仿宋_GB2312" w:hAnsi="仿宋_GB2312" w:eastAsia="仿宋_GB2312" w:cs="仿宋_GB2312"/>
          <w:sz w:val="28"/>
          <w:szCs w:val="28"/>
          <w:lang w:eastAsia="zh-CN"/>
        </w:rPr>
        <w:t>，二次</w:t>
      </w:r>
      <w:r>
        <w:rPr>
          <w:rFonts w:hint="eastAsia" w:ascii="仿宋_GB2312" w:hAnsi="仿宋_GB2312" w:eastAsia="仿宋_GB2312" w:cs="仿宋_GB2312"/>
          <w:sz w:val="28"/>
          <w:szCs w:val="28"/>
        </w:rPr>
        <w:t>报价作为最终报价。</w:t>
      </w:r>
    </w:p>
    <w:bookmarkEnd w:id="162"/>
    <w:bookmarkEnd w:id="163"/>
    <w:bookmarkEnd w:id="164"/>
    <w:bookmarkEnd w:id="165"/>
    <w:bookmarkEnd w:id="166"/>
    <w:bookmarkEnd w:id="167"/>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六、定标</w:t>
      </w:r>
      <w:bookmarkEnd w:id="161"/>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68" w:name="_Toc325464841"/>
      <w:bookmarkStart w:id="169" w:name="_Toc317509410"/>
      <w:bookmarkStart w:id="170" w:name="_Toc317509257"/>
      <w:bookmarkStart w:id="171" w:name="_Toc325096492"/>
      <w:r>
        <w:rPr>
          <w:rFonts w:hint="eastAsia" w:ascii="仿宋_GB2312" w:hAnsi="仿宋_GB2312" w:eastAsia="仿宋_GB2312" w:cs="仿宋_GB2312"/>
          <w:sz w:val="28"/>
          <w:szCs w:val="28"/>
          <w:highlight w:val="none"/>
        </w:rPr>
        <w:t>21. 定标原则</w:t>
      </w:r>
      <w:bookmarkEnd w:id="168"/>
      <w:bookmarkEnd w:id="169"/>
      <w:bookmarkEnd w:id="170"/>
      <w:bookmarkEnd w:id="171"/>
    </w:p>
    <w:p>
      <w:pPr>
        <w:pStyle w:val="6"/>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21.1根据谈判小组推荐的成交候选人名单，按顺序确定成交人。</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72" w:name="_Toc325464842"/>
      <w:bookmarkStart w:id="173" w:name="_Toc325096493"/>
      <w:bookmarkStart w:id="174" w:name="_Toc317509258"/>
      <w:bookmarkStart w:id="175" w:name="_Toc317509411"/>
      <w:bookmarkStart w:id="176" w:name="_Toc217446062"/>
      <w:r>
        <w:rPr>
          <w:rFonts w:hint="eastAsia" w:ascii="仿宋_GB2312" w:hAnsi="仿宋_GB2312" w:eastAsia="仿宋_GB2312" w:cs="仿宋_GB2312"/>
          <w:sz w:val="28"/>
          <w:szCs w:val="28"/>
          <w:highlight w:val="none"/>
        </w:rPr>
        <w:t>22. 定标程序</w:t>
      </w:r>
      <w:bookmarkEnd w:id="172"/>
      <w:bookmarkEnd w:id="173"/>
      <w:bookmarkEnd w:id="174"/>
      <w:bookmarkEnd w:id="175"/>
      <w:bookmarkEnd w:id="176"/>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22.1 谈判小组将谈判情况写出书面报告，推荐成交候选人，并标明排列顺序。</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22.2 采购人在收到谈判报告后五个工作日内，按照谈判报告中推荐的成交候选人顺序确定成交人。</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22.3采购人将成交结果通知参加竞争性谈判的所有企业。采购人不解释成交或落选原因，不退回响应文件和其他谈判资料。</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77" w:name="_Toc183582238"/>
      <w:bookmarkStart w:id="178" w:name="_Toc183682375"/>
      <w:bookmarkStart w:id="179" w:name="_Toc217446063"/>
      <w:bookmarkStart w:id="180" w:name="_Toc325096494"/>
      <w:bookmarkStart w:id="181" w:name="_Toc325464843"/>
      <w:bookmarkStart w:id="182" w:name="_Toc317509259"/>
      <w:bookmarkStart w:id="183" w:name="_Toc317509412"/>
      <w:r>
        <w:rPr>
          <w:rFonts w:hint="eastAsia" w:ascii="仿宋_GB2312" w:hAnsi="仿宋_GB2312" w:eastAsia="仿宋_GB2312" w:cs="仿宋_GB2312"/>
          <w:sz w:val="28"/>
          <w:szCs w:val="28"/>
          <w:highlight w:val="none"/>
        </w:rPr>
        <w:t>23．成交通知</w:t>
      </w:r>
      <w:bookmarkEnd w:id="177"/>
      <w:bookmarkEnd w:id="178"/>
      <w:r>
        <w:rPr>
          <w:rFonts w:hint="eastAsia" w:ascii="仿宋_GB2312" w:hAnsi="仿宋_GB2312" w:eastAsia="仿宋_GB2312" w:cs="仿宋_GB2312"/>
          <w:sz w:val="28"/>
          <w:szCs w:val="28"/>
          <w:highlight w:val="none"/>
        </w:rPr>
        <w:t>书</w:t>
      </w:r>
      <w:bookmarkEnd w:id="179"/>
      <w:bookmarkEnd w:id="180"/>
      <w:bookmarkEnd w:id="181"/>
      <w:bookmarkEnd w:id="182"/>
      <w:bookmarkEnd w:id="183"/>
    </w:p>
    <w:p>
      <w:pPr>
        <w:pageBreakBefore w:val="0"/>
        <w:tabs>
          <w:tab w:val="left" w:pos="7665"/>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23.1 成交通知书为签订采购合同的依据，是合同的有效组成部分。</w:t>
      </w:r>
    </w:p>
    <w:p>
      <w:pPr>
        <w:pageBreakBefore w:val="0"/>
        <w:tabs>
          <w:tab w:val="left" w:pos="7665"/>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23.2 成交通知书对采购人和成交人均具有法律效力。成交通知书发出后，采购人改变成交结果，或者成交人无正当理由放弃成交的，应当承担相应的法律责任。</w:t>
      </w:r>
    </w:p>
    <w:p>
      <w:pPr>
        <w:pageBreakBefore w:val="0"/>
        <w:tabs>
          <w:tab w:val="left" w:pos="7665"/>
        </w:tabs>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23.3成交人的响应文件本应作为无效谈判处理或者有法律法规规章制度规定的成交无效情形的，采购人在取得有权主体的认定以后，应当宣布发出的成交通知书无效，并收回发出的成交通知书(成交人也应当缴回)，依法重新确定成交人或者重新开展采购活动。</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1"/>
        <w:rPr>
          <w:rFonts w:hint="eastAsia" w:ascii="黑体" w:hAnsi="黑体" w:eastAsia="黑体" w:cs="黑体"/>
          <w:sz w:val="28"/>
          <w:szCs w:val="28"/>
          <w:highlight w:val="none"/>
        </w:rPr>
      </w:pPr>
      <w:bookmarkStart w:id="184" w:name="_Toc22308"/>
      <w:r>
        <w:rPr>
          <w:rFonts w:hint="eastAsia" w:ascii="黑体" w:hAnsi="黑体" w:eastAsia="黑体" w:cs="黑体"/>
          <w:sz w:val="28"/>
          <w:szCs w:val="28"/>
          <w:highlight w:val="none"/>
        </w:rPr>
        <w:t>七、签订及履行合同和验收</w:t>
      </w:r>
      <w:bookmarkEnd w:id="184"/>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85" w:name="_Toc317509414"/>
      <w:bookmarkStart w:id="186" w:name="_Toc317509261"/>
      <w:bookmarkStart w:id="187" w:name="_Toc325096496"/>
      <w:bookmarkStart w:id="188" w:name="_Toc325464845"/>
      <w:bookmarkStart w:id="189" w:name="_Toc217446065"/>
      <w:r>
        <w:rPr>
          <w:rFonts w:hint="eastAsia" w:ascii="仿宋_GB2312" w:hAnsi="仿宋_GB2312" w:eastAsia="仿宋_GB2312" w:cs="仿宋_GB2312"/>
          <w:sz w:val="28"/>
          <w:szCs w:val="28"/>
          <w:highlight w:val="none"/>
        </w:rPr>
        <w:t>24. 签订合同</w:t>
      </w:r>
      <w:bookmarkEnd w:id="185"/>
      <w:bookmarkEnd w:id="186"/>
      <w:bookmarkEnd w:id="187"/>
      <w:bookmarkEnd w:id="188"/>
      <w:bookmarkEnd w:id="189"/>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24.1 成交人在收到采购人发出的成交通知书后，应自成交通知书发出之日起</w:t>
      </w:r>
      <w:r>
        <w:rPr>
          <w:rFonts w:hint="eastAsia" w:ascii="仿宋_GB2312" w:hAnsi="仿宋_GB2312" w:eastAsia="仿宋_GB2312" w:cs="仿宋_GB2312"/>
          <w:sz w:val="28"/>
          <w:szCs w:val="28"/>
          <w:highlight w:val="none"/>
          <w:lang w:val="en-US" w:eastAsia="zh-CN"/>
        </w:rPr>
        <w:t>30个工作</w:t>
      </w:r>
      <w:r>
        <w:rPr>
          <w:rFonts w:hint="eastAsia" w:ascii="仿宋_GB2312" w:hAnsi="仿宋_GB2312" w:eastAsia="仿宋_GB2312" w:cs="仿宋_GB2312"/>
          <w:sz w:val="28"/>
          <w:szCs w:val="28"/>
          <w:highlight w:val="none"/>
        </w:rPr>
        <w:t>日内与采购人签订采购合同。由于成交人的原因逾期未与采购人签订采购合同</w:t>
      </w:r>
      <w:r>
        <w:rPr>
          <w:rFonts w:hint="eastAsia" w:ascii="仿宋_GB2312" w:hAnsi="仿宋_GB2312" w:eastAsia="仿宋_GB2312" w:cs="仿宋_GB2312"/>
          <w:sz w:val="28"/>
          <w:szCs w:val="28"/>
          <w:highlight w:val="none"/>
          <w:lang w:eastAsia="zh-CN"/>
        </w:rPr>
        <w:t>或签订合同时提出不合理要求</w:t>
      </w:r>
      <w:r>
        <w:rPr>
          <w:rFonts w:hint="eastAsia" w:ascii="仿宋_GB2312" w:hAnsi="仿宋_GB2312" w:eastAsia="仿宋_GB2312" w:cs="仿宋_GB2312"/>
          <w:sz w:val="28"/>
          <w:szCs w:val="28"/>
          <w:highlight w:val="none"/>
        </w:rPr>
        <w:t>的，将视为放弃成交，取消其成交资格并将按相关规定进行处理。</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24.2 采购人不得向成交人提出任何不合理的要求，作为签订合同的条件，不得与成交人私下订立背离合同实质性内容的任何协议，所签订的合同不得对竞争性谈判文件和成交人谈判文件作实质性修改。</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24.3 成交人因不可抗力原因不能履行采购合同或放弃成交的，采购人可以与排在成交人之后第一位的成交候选人签订采购合同，以此类推。</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90" w:name="_Toc325464847"/>
      <w:bookmarkStart w:id="191" w:name="_Toc317509417"/>
      <w:bookmarkStart w:id="192" w:name="_Toc217446069"/>
      <w:bookmarkStart w:id="193" w:name="_Toc325096498"/>
      <w:bookmarkStart w:id="194" w:name="_Toc317509264"/>
      <w:r>
        <w:rPr>
          <w:rFonts w:hint="eastAsia" w:ascii="仿宋_GB2312" w:hAnsi="仿宋_GB2312" w:eastAsia="仿宋_GB2312" w:cs="仿宋_GB2312"/>
          <w:sz w:val="28"/>
          <w:szCs w:val="28"/>
          <w:highlight w:val="none"/>
        </w:rPr>
        <w:t>25. 履行合同</w:t>
      </w:r>
      <w:bookmarkEnd w:id="190"/>
      <w:bookmarkEnd w:id="191"/>
      <w:bookmarkEnd w:id="192"/>
      <w:bookmarkEnd w:id="193"/>
      <w:bookmarkEnd w:id="194"/>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25.1 成交人与采购人签订合同后，合同双方应严格执行合同条款，履行合同规定的义务，保证合同的顺利完成。</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25.2 在合同履行过程中，如发生合同纠纷，合同双方应按照《中华人民共和国民法典》的有关规定进行处理。</w:t>
      </w:r>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195" w:name="_Toc217446070"/>
      <w:bookmarkStart w:id="196" w:name="_Toc325096499"/>
      <w:bookmarkStart w:id="197" w:name="_Toc325464848"/>
      <w:bookmarkStart w:id="198" w:name="_Toc317509418"/>
      <w:bookmarkStart w:id="199" w:name="_Toc317509265"/>
      <w:r>
        <w:rPr>
          <w:rFonts w:hint="eastAsia" w:ascii="仿宋_GB2312" w:hAnsi="仿宋_GB2312" w:eastAsia="仿宋_GB2312" w:cs="仿宋_GB2312"/>
          <w:sz w:val="28"/>
          <w:szCs w:val="28"/>
          <w:highlight w:val="none"/>
        </w:rPr>
        <w:t xml:space="preserve">26. </w:t>
      </w:r>
      <w:bookmarkEnd w:id="195"/>
      <w:bookmarkEnd w:id="196"/>
      <w:bookmarkEnd w:id="197"/>
      <w:bookmarkEnd w:id="198"/>
      <w:bookmarkEnd w:id="199"/>
      <w:r>
        <w:rPr>
          <w:rFonts w:hint="eastAsia" w:ascii="仿宋_GB2312" w:hAnsi="仿宋_GB2312" w:eastAsia="仿宋_GB2312" w:cs="仿宋_GB2312"/>
          <w:sz w:val="28"/>
          <w:szCs w:val="28"/>
          <w:highlight w:val="none"/>
        </w:rPr>
        <w:t>履约保证金</w:t>
      </w:r>
    </w:p>
    <w:p>
      <w:pPr>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无</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1"/>
        <w:rPr>
          <w:rFonts w:hint="eastAsia" w:ascii="黑体" w:hAnsi="黑体" w:eastAsia="黑体" w:cs="黑体"/>
          <w:sz w:val="28"/>
          <w:szCs w:val="28"/>
          <w:highlight w:val="none"/>
        </w:rPr>
      </w:pPr>
      <w:bookmarkStart w:id="200" w:name="_Toc951"/>
      <w:r>
        <w:rPr>
          <w:rFonts w:hint="eastAsia" w:ascii="黑体" w:hAnsi="黑体" w:eastAsia="黑体" w:cs="黑体"/>
          <w:sz w:val="28"/>
          <w:szCs w:val="28"/>
          <w:highlight w:val="none"/>
          <w:lang w:val="en-US" w:eastAsia="zh-CN"/>
        </w:rPr>
        <w:t>八</w:t>
      </w:r>
      <w:r>
        <w:rPr>
          <w:rFonts w:hint="eastAsia" w:ascii="黑体" w:hAnsi="黑体" w:eastAsia="黑体" w:cs="黑体"/>
          <w:sz w:val="28"/>
          <w:szCs w:val="28"/>
          <w:highlight w:val="none"/>
        </w:rPr>
        <w:t>、废标</w:t>
      </w:r>
      <w:bookmarkEnd w:id="200"/>
    </w:p>
    <w:p>
      <w:pPr>
        <w:pStyle w:val="7"/>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201" w:name="_Toc325096501"/>
      <w:bookmarkStart w:id="202" w:name="_Toc325464850"/>
      <w:bookmarkStart w:id="203" w:name="_Toc317509267"/>
      <w:bookmarkStart w:id="204" w:name="_Toc217446072"/>
      <w:bookmarkStart w:id="205" w:name="_Toc317509420"/>
      <w:r>
        <w:rPr>
          <w:rFonts w:hint="eastAsia" w:ascii="仿宋_GB2312" w:hAnsi="仿宋_GB2312" w:eastAsia="仿宋_GB2312" w:cs="仿宋_GB2312"/>
          <w:sz w:val="28"/>
          <w:szCs w:val="28"/>
          <w:highlight w:val="none"/>
        </w:rPr>
        <w:t>27. 废标的情形</w:t>
      </w:r>
      <w:bookmarkEnd w:id="201"/>
      <w:bookmarkEnd w:id="202"/>
      <w:bookmarkEnd w:id="203"/>
      <w:bookmarkEnd w:id="204"/>
      <w:bookmarkEnd w:id="205"/>
    </w:p>
    <w:p>
      <w:pPr>
        <w:pStyle w:val="6"/>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27.1竞争性谈判采购中，出现下列情形之一的，予以废标：</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0"/>
          <w:sz w:val="28"/>
          <w:szCs w:val="28"/>
          <w:highlight w:val="none"/>
        </w:rPr>
        <w:t>（1）</w:t>
      </w:r>
      <w:r>
        <w:rPr>
          <w:rFonts w:hint="eastAsia" w:ascii="仿宋_GB2312" w:hAnsi="仿宋_GB2312" w:eastAsia="仿宋_GB2312" w:cs="仿宋_GB2312"/>
          <w:sz w:val="28"/>
          <w:szCs w:val="28"/>
          <w:highlight w:val="none"/>
        </w:rPr>
        <w:t>出现影响采购公正的违法、违规行为的；</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（2）响应人的报价均超过了采购</w:t>
      </w:r>
      <w:r>
        <w:rPr>
          <w:rFonts w:hint="eastAsia" w:ascii="仿宋_GB2312" w:hAnsi="仿宋_GB2312" w:eastAsia="仿宋_GB2312" w:cs="仿宋_GB2312"/>
          <w:spacing w:val="10"/>
          <w:sz w:val="28"/>
          <w:szCs w:val="28"/>
          <w:highlight w:val="none"/>
          <w:lang w:val="en-US" w:eastAsia="zh-CN"/>
        </w:rPr>
        <w:t>控制价</w:t>
      </w:r>
      <w:r>
        <w:rPr>
          <w:rFonts w:hint="eastAsia" w:ascii="仿宋_GB2312" w:hAnsi="仿宋_GB2312" w:eastAsia="仿宋_GB2312" w:cs="仿宋_GB2312"/>
          <w:spacing w:val="10"/>
          <w:sz w:val="28"/>
          <w:szCs w:val="28"/>
          <w:highlight w:val="none"/>
        </w:rPr>
        <w:t>，采购人不能支付的；</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（3）因重大变故，采购任务取消的；</w:t>
      </w:r>
    </w:p>
    <w:p>
      <w:pPr>
        <w:pageBreakBefore w:val="0"/>
        <w:kinsoku/>
        <w:wordWrap/>
        <w:overflowPunct/>
        <w:topLinePunct w:val="0"/>
        <w:bidi w:val="0"/>
        <w:adjustRightInd/>
        <w:snapToGrid w:val="0"/>
        <w:spacing w:line="560" w:lineRule="exact"/>
        <w:ind w:firstLine="300" w:firstLineChars="100"/>
        <w:rPr>
          <w:rFonts w:hint="eastAsia" w:ascii="黑体" w:hAnsi="黑体" w:eastAsia="黑体" w:cs="黑体"/>
          <w:sz w:val="28"/>
          <w:szCs w:val="28"/>
          <w:highlight w:val="none"/>
        </w:rPr>
      </w:pPr>
      <w:r>
        <w:rPr>
          <w:rFonts w:hint="eastAsia" w:ascii="仿宋_GB2312" w:hAnsi="仿宋_GB2312" w:eastAsia="仿宋_GB2312" w:cs="仿宋_GB2312"/>
          <w:spacing w:val="10"/>
          <w:sz w:val="28"/>
          <w:szCs w:val="28"/>
          <w:highlight w:val="none"/>
        </w:rPr>
        <w:t>（4）其</w:t>
      </w:r>
      <w:r>
        <w:rPr>
          <w:rFonts w:hint="eastAsia" w:ascii="仿宋_GB2312" w:hAnsi="仿宋_GB2312" w:eastAsia="仿宋_GB2312" w:cs="仿宋_GB2312"/>
          <w:sz w:val="28"/>
          <w:szCs w:val="28"/>
          <w:highlight w:val="none"/>
        </w:rPr>
        <w:t>他未实质性响应竞谈文件的。</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1"/>
        <w:rPr>
          <w:rFonts w:hint="eastAsia" w:ascii="黑体" w:hAnsi="黑体" w:eastAsia="黑体" w:cs="黑体"/>
          <w:sz w:val="28"/>
          <w:szCs w:val="28"/>
          <w:highlight w:val="none"/>
        </w:rPr>
      </w:pPr>
      <w:bookmarkStart w:id="206" w:name="_Toc4715"/>
      <w:r>
        <w:rPr>
          <w:rFonts w:hint="eastAsia" w:ascii="黑体" w:hAnsi="黑体" w:eastAsia="黑体" w:cs="黑体"/>
          <w:sz w:val="28"/>
          <w:szCs w:val="28"/>
          <w:highlight w:val="none"/>
          <w:lang w:val="en-US" w:eastAsia="zh-CN"/>
        </w:rPr>
        <w:t>九</w:t>
      </w:r>
      <w:r>
        <w:rPr>
          <w:rFonts w:hint="eastAsia" w:ascii="黑体" w:hAnsi="黑体" w:eastAsia="黑体" w:cs="黑体"/>
          <w:sz w:val="28"/>
          <w:szCs w:val="28"/>
          <w:highlight w:val="none"/>
        </w:rPr>
        <w:t>、谈判纪律要求</w:t>
      </w:r>
      <w:bookmarkEnd w:id="206"/>
    </w:p>
    <w:p>
      <w:pPr>
        <w:pStyle w:val="7"/>
        <w:keepNext w:val="0"/>
        <w:keepLines w:val="0"/>
        <w:pageBreakBefore w:val="0"/>
        <w:kinsoku/>
        <w:wordWrap/>
        <w:overflowPunct/>
        <w:topLinePunct w:val="0"/>
        <w:bidi w:val="0"/>
        <w:adjustRightInd/>
        <w:spacing w:before="0" w:after="0" w:line="560" w:lineRule="exact"/>
        <w:ind w:firstLine="562" w:firstLineChars="200"/>
        <w:outlineLvl w:val="3"/>
        <w:rPr>
          <w:rFonts w:hint="eastAsia" w:ascii="仿宋_GB2312" w:hAnsi="仿宋_GB2312" w:eastAsia="仿宋_GB2312" w:cs="仿宋_GB2312"/>
          <w:sz w:val="28"/>
          <w:szCs w:val="28"/>
          <w:highlight w:val="none"/>
        </w:rPr>
      </w:pPr>
      <w:bookmarkStart w:id="207" w:name="_Toc325096503"/>
      <w:bookmarkStart w:id="208" w:name="_Toc217446075"/>
      <w:bookmarkStart w:id="209" w:name="_Toc317509269"/>
      <w:bookmarkStart w:id="210" w:name="_Toc325464852"/>
      <w:bookmarkStart w:id="211" w:name="_Toc317509422"/>
      <w:r>
        <w:rPr>
          <w:rFonts w:hint="eastAsia" w:ascii="仿宋_GB2312" w:hAnsi="仿宋_GB2312" w:eastAsia="仿宋_GB2312" w:cs="仿宋_GB2312"/>
          <w:sz w:val="28"/>
          <w:szCs w:val="28"/>
          <w:highlight w:val="none"/>
        </w:rPr>
        <w:t>28. 响应人不得具有的情形</w:t>
      </w:r>
      <w:bookmarkEnd w:id="207"/>
      <w:bookmarkEnd w:id="208"/>
      <w:bookmarkEnd w:id="209"/>
      <w:bookmarkEnd w:id="210"/>
      <w:bookmarkEnd w:id="211"/>
    </w:p>
    <w:p>
      <w:pPr>
        <w:pStyle w:val="6"/>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28.1响应人参加谈判不得有下列情形：</w:t>
      </w:r>
    </w:p>
    <w:p>
      <w:pPr>
        <w:pageBreakBefore w:val="0"/>
        <w:kinsoku/>
        <w:wordWrap/>
        <w:overflowPunct/>
        <w:topLinePunct w:val="0"/>
        <w:bidi w:val="0"/>
        <w:adjustRightInd/>
        <w:snapToGrid w:val="0"/>
        <w:spacing w:line="540" w:lineRule="exact"/>
        <w:ind w:firstLine="300" w:firstLineChars="100"/>
        <w:rPr>
          <w:rFonts w:hint="eastAsia" w:ascii="仿宋_GB2312" w:hAnsi="仿宋_GB2312" w:eastAsia="仿宋_GB2312" w:cs="仿宋_GB2312"/>
          <w:spacing w:val="10"/>
          <w:sz w:val="28"/>
          <w:szCs w:val="28"/>
          <w:highlight w:val="none"/>
          <w:lang w:eastAsia="zh-CN"/>
        </w:rPr>
      </w:pPr>
      <w:r>
        <w:rPr>
          <w:rFonts w:hint="eastAsia" w:ascii="仿宋_GB2312" w:hAnsi="仿宋_GB2312" w:eastAsia="仿宋_GB2312" w:cs="仿宋_GB2312"/>
          <w:spacing w:val="10"/>
          <w:sz w:val="28"/>
          <w:szCs w:val="28"/>
          <w:highlight w:val="none"/>
        </w:rPr>
        <w:t>（1）提供虚假材料谋取成交</w:t>
      </w:r>
      <w:r>
        <w:rPr>
          <w:rFonts w:hint="eastAsia" w:ascii="仿宋_GB2312" w:hAnsi="仿宋_GB2312" w:eastAsia="仿宋_GB2312" w:cs="仿宋_GB2312"/>
          <w:spacing w:val="10"/>
          <w:sz w:val="28"/>
          <w:szCs w:val="28"/>
          <w:highlight w:val="none"/>
          <w:lang w:eastAsia="zh-CN"/>
        </w:rPr>
        <w:t>；</w:t>
      </w:r>
    </w:p>
    <w:p>
      <w:pPr>
        <w:pageBreakBefore w:val="0"/>
        <w:kinsoku/>
        <w:wordWrap/>
        <w:overflowPunct/>
        <w:topLinePunct w:val="0"/>
        <w:bidi w:val="0"/>
        <w:adjustRightInd/>
        <w:snapToGrid w:val="0"/>
        <w:spacing w:line="540" w:lineRule="exact"/>
        <w:ind w:firstLine="300" w:firstLineChars="100"/>
        <w:rPr>
          <w:rFonts w:hint="eastAsia" w:ascii="仿宋_GB2312" w:hAnsi="仿宋_GB2312" w:eastAsia="仿宋_GB2312" w:cs="仿宋_GB2312"/>
          <w:spacing w:val="10"/>
          <w:sz w:val="28"/>
          <w:szCs w:val="28"/>
          <w:highlight w:val="none"/>
          <w:lang w:eastAsia="zh-CN"/>
        </w:rPr>
      </w:pPr>
      <w:r>
        <w:rPr>
          <w:rFonts w:hint="eastAsia" w:ascii="仿宋_GB2312" w:hAnsi="仿宋_GB2312" w:eastAsia="仿宋_GB2312" w:cs="仿宋_GB2312"/>
          <w:spacing w:val="10"/>
          <w:sz w:val="28"/>
          <w:szCs w:val="28"/>
          <w:highlight w:val="none"/>
        </w:rPr>
        <w:t>（2）采取不正当手段诋毁、排挤其他响应人</w:t>
      </w:r>
      <w:r>
        <w:rPr>
          <w:rFonts w:hint="eastAsia" w:ascii="仿宋_GB2312" w:hAnsi="仿宋_GB2312" w:eastAsia="仿宋_GB2312" w:cs="仿宋_GB2312"/>
          <w:spacing w:val="10"/>
          <w:sz w:val="28"/>
          <w:szCs w:val="28"/>
          <w:highlight w:val="none"/>
          <w:lang w:eastAsia="zh-CN"/>
        </w:rPr>
        <w:t>；</w:t>
      </w:r>
    </w:p>
    <w:p>
      <w:pPr>
        <w:pageBreakBefore w:val="0"/>
        <w:kinsoku/>
        <w:wordWrap/>
        <w:overflowPunct/>
        <w:topLinePunct w:val="0"/>
        <w:bidi w:val="0"/>
        <w:adjustRightInd/>
        <w:snapToGrid w:val="0"/>
        <w:spacing w:line="540" w:lineRule="exact"/>
        <w:ind w:firstLine="300" w:firstLineChars="100"/>
        <w:rPr>
          <w:rFonts w:hint="eastAsia" w:ascii="仿宋_GB2312" w:hAnsi="仿宋_GB2312" w:eastAsia="仿宋_GB2312" w:cs="仿宋_GB2312"/>
          <w:spacing w:val="10"/>
          <w:sz w:val="28"/>
          <w:szCs w:val="28"/>
          <w:highlight w:val="none"/>
          <w:lang w:eastAsia="zh-CN"/>
        </w:rPr>
      </w:pPr>
      <w:r>
        <w:rPr>
          <w:rFonts w:hint="eastAsia" w:ascii="仿宋_GB2312" w:hAnsi="仿宋_GB2312" w:eastAsia="仿宋_GB2312" w:cs="仿宋_GB2312"/>
          <w:spacing w:val="10"/>
          <w:sz w:val="28"/>
          <w:szCs w:val="28"/>
          <w:highlight w:val="none"/>
        </w:rPr>
        <w:t>（3）与采购人、其他响应人恶意串通</w:t>
      </w:r>
      <w:r>
        <w:rPr>
          <w:rFonts w:hint="eastAsia" w:ascii="仿宋_GB2312" w:hAnsi="仿宋_GB2312" w:eastAsia="仿宋_GB2312" w:cs="仿宋_GB2312"/>
          <w:spacing w:val="10"/>
          <w:sz w:val="28"/>
          <w:szCs w:val="28"/>
          <w:highlight w:val="none"/>
          <w:lang w:eastAsia="zh-CN"/>
        </w:rPr>
        <w:t>或出现其他违反招标投标法行为；</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（4）向采购人、谈判小组成员行贿或者提供其他不正当利益</w:t>
      </w:r>
    </w:p>
    <w:p>
      <w:pPr>
        <w:pageBreakBefore w:val="0"/>
        <w:kinsoku/>
        <w:wordWrap/>
        <w:overflowPunct/>
        <w:topLinePunct w:val="0"/>
        <w:bidi w:val="0"/>
        <w:adjustRightInd/>
        <w:snapToGrid w:val="0"/>
        <w:spacing w:line="560" w:lineRule="exact"/>
        <w:ind w:firstLine="30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0"/>
          <w:sz w:val="28"/>
          <w:szCs w:val="28"/>
          <w:highlight w:val="none"/>
        </w:rPr>
        <w:t>（5）</w:t>
      </w:r>
      <w:r>
        <w:rPr>
          <w:rFonts w:hint="eastAsia" w:ascii="仿宋_GB2312" w:hAnsi="仿宋_GB2312" w:eastAsia="仿宋_GB2312" w:cs="仿宋_GB2312"/>
          <w:sz w:val="28"/>
          <w:szCs w:val="28"/>
          <w:highlight w:val="none"/>
        </w:rPr>
        <w:t>拒绝有关部门的监督检查或者向监督检查部门提供虚假情况</w:t>
      </w:r>
    </w:p>
    <w:p>
      <w:pPr>
        <w:pStyle w:val="6"/>
        <w:pageBreakBefore w:val="0"/>
        <w:kinsoku/>
        <w:wordWrap/>
        <w:overflowPunct/>
        <w:topLinePunct w:val="0"/>
        <w:bidi w:val="0"/>
        <w:adjustRightInd/>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有上述情形之一的响应人，属于不合格响应人，其谈判或成交资格将被取消。</w:t>
      </w:r>
    </w:p>
    <w:p>
      <w:pPr>
        <w:keepNext w:val="0"/>
        <w:keepLines w:val="0"/>
        <w:pageBreakBefore w:val="0"/>
        <w:tabs>
          <w:tab w:val="left" w:pos="851"/>
        </w:tabs>
        <w:kinsoku/>
        <w:wordWrap/>
        <w:overflowPunct/>
        <w:topLinePunct w:val="0"/>
        <w:autoSpaceDE/>
        <w:autoSpaceDN/>
        <w:bidi w:val="0"/>
        <w:spacing w:line="560" w:lineRule="exact"/>
        <w:textAlignment w:val="auto"/>
        <w:outlineLvl w:val="9"/>
        <w:rPr>
          <w:rFonts w:hint="eastAsia" w:ascii="仿宋_GB2312" w:hAnsi="仿宋_GB2312" w:eastAsia="仿宋_GB2312" w:cs="仿宋_GB2312"/>
          <w:sz w:val="32"/>
          <w:szCs w:val="32"/>
          <w:highlight w:val="none"/>
        </w:rPr>
      </w:pPr>
    </w:p>
    <w:p>
      <w:pPr>
        <w:pStyle w:val="4"/>
        <w:spacing w:before="260" w:after="260" w:line="360" w:lineRule="auto"/>
        <w:jc w:val="center"/>
        <w:outlineLvl w:val="0"/>
        <w:rPr>
          <w:rFonts w:hint="eastAsia" w:ascii="仿宋" w:hAnsi="仿宋" w:eastAsia="仿宋" w:cs="仿宋"/>
          <w:sz w:val="32"/>
          <w:szCs w:val="32"/>
          <w:highlight w:val="none"/>
        </w:rPr>
      </w:pPr>
      <w:bookmarkStart w:id="212" w:name="_Toc70257522"/>
      <w:bookmarkStart w:id="213" w:name="_Toc16383"/>
      <w:r>
        <w:rPr>
          <w:rFonts w:hint="eastAsia" w:ascii="方正小标宋简体" w:hAnsi="方正小标宋简体" w:eastAsia="方正小标宋简体" w:cs="方正小标宋简体"/>
          <w:b w:val="0"/>
          <w:bCs w:val="0"/>
          <w:kern w:val="2"/>
          <w:sz w:val="36"/>
          <w:szCs w:val="36"/>
          <w:highlight w:val="none"/>
          <w:lang w:val="en-US" w:eastAsia="zh-CN" w:bidi="ar-SA"/>
        </w:rPr>
        <w:br w:type="page"/>
      </w:r>
      <w:bookmarkEnd w:id="212"/>
      <w:bookmarkEnd w:id="213"/>
      <w:bookmarkStart w:id="214" w:name="_Toc510622850"/>
      <w:bookmarkStart w:id="215" w:name="_Toc10539"/>
      <w:bookmarkStart w:id="216" w:name="_Toc27509"/>
      <w:bookmarkStart w:id="217" w:name="_Toc533612010"/>
      <w:bookmarkStart w:id="218" w:name="_Toc29951"/>
      <w:bookmarkStart w:id="219" w:name="_Toc10616"/>
      <w:bookmarkStart w:id="220" w:name="_Toc70257524"/>
      <w:r>
        <w:rPr>
          <w:rFonts w:hint="eastAsia" w:ascii="方正小标宋简体" w:hAnsi="方正小标宋简体" w:eastAsia="方正小标宋简体" w:cs="方正小标宋简体"/>
          <w:b w:val="0"/>
          <w:bCs w:val="0"/>
          <w:kern w:val="2"/>
          <w:sz w:val="36"/>
          <w:szCs w:val="36"/>
          <w:highlight w:val="none"/>
          <w:lang w:val="en-US" w:eastAsia="zh-CN" w:bidi="ar-SA"/>
        </w:rPr>
        <w:t>第三章  评审办法</w:t>
      </w:r>
      <w:bookmarkEnd w:id="214"/>
      <w:bookmarkEnd w:id="215"/>
      <w:bookmarkEnd w:id="216"/>
      <w:bookmarkEnd w:id="217"/>
      <w:bookmarkEnd w:id="218"/>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bookmarkStart w:id="221" w:name="_Toc61327442"/>
      <w:r>
        <w:rPr>
          <w:rFonts w:hint="eastAsia" w:ascii="仿宋_GB2312" w:hAnsi="仿宋_GB2312" w:eastAsia="仿宋_GB2312" w:cs="仿宋_GB2312"/>
          <w:bCs/>
          <w:sz w:val="28"/>
          <w:szCs w:val="28"/>
          <w:highlight w:val="none"/>
        </w:rPr>
        <w:t>一、为使本次谈判工作体现公开、公平、公正的原则和平等竞争的精神，并择优选定报价合理、信誉好、服务能力强的成交人，依照国家、省和四川省能源投资集团有限责任公司有关规定，特制定本评审办法。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二、谈判小组依据竞争性谈判文件中的标准、办法对响应文件进行评审，任何其他的外部证据均不得作为评审的依据。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本次评审工作由采购人组织的谈判小组负责。谈判小组成员人数为3人。入围结果确定之前，谈判小组成员的名单保密。谈判小组成员应根据竞争性谈判文件要求和本评审办法对响应人的响应文件逐一进行分析、比较和评审。</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四、评审标准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谈判小组将根据经评审的响应人综合得分由高到低进行排序，综合得分最高的前三位的响应人推荐为成交候选人。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4.1综合得分最高的原则</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 符合性评审、资格审查及响应性评审评审内容详见下表：</w:t>
      </w:r>
    </w:p>
    <w:tbl>
      <w:tblPr>
        <w:tblStyle w:val="17"/>
        <w:tblW w:w="8025" w:type="dxa"/>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2283"/>
        <w:gridCol w:w="4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评审项目</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w:t>
            </w:r>
          </w:p>
        </w:tc>
        <w:tc>
          <w:tcPr>
            <w:tcW w:w="487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授权委托书</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法定代表人证明书/法人授权委托书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服务</w:t>
            </w:r>
            <w:r>
              <w:rPr>
                <w:rFonts w:hint="eastAsia" w:ascii="仿宋_GB2312" w:hAnsi="仿宋_GB2312" w:eastAsia="仿宋_GB2312" w:cs="仿宋_GB2312"/>
                <w:sz w:val="28"/>
                <w:szCs w:val="28"/>
                <w:highlight w:val="none"/>
                <w:lang w:val="en-US" w:eastAsia="zh-CN"/>
              </w:rPr>
              <w:t>周期</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谈判须知前附表4条的要求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联合体</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谈判须知前附表6条的要求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分包</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谈判须知前附表9条的要求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6</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谈判有效期</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谈判须知前附表11条的要求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7</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签字盖章</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谈判须知前附表12条的要求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8</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响应文件份数</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谈判须知前附表13条的要求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响应文件封面</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谈判须知前附表14条的要求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装订</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谈判须知前附表16条的要求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报价要求</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谈判须知前附表22条的要求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一般要求</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谈判须知前附表25条的要求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资格要求</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谈判须知前附表26条的要求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14</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偏离</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谈判须知前附表27条的要求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w:t>
            </w:r>
          </w:p>
        </w:tc>
        <w:tc>
          <w:tcPr>
            <w:tcW w:w="228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其他要求</w:t>
            </w:r>
          </w:p>
        </w:tc>
        <w:tc>
          <w:tcPr>
            <w:tcW w:w="48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符合</w:t>
            </w:r>
            <w:r>
              <w:rPr>
                <w:rFonts w:hint="eastAsia" w:ascii="仿宋_GB2312" w:hAnsi="仿宋_GB2312" w:eastAsia="仿宋_GB2312" w:cs="仿宋_GB2312"/>
                <w:sz w:val="28"/>
                <w:szCs w:val="28"/>
                <w:highlight w:val="none"/>
                <w:lang w:val="en-US" w:eastAsia="zh-CN"/>
              </w:rPr>
              <w:t>谈判须知前附表28条的要求</w:t>
            </w:r>
          </w:p>
        </w:tc>
      </w:tr>
    </w:tbl>
    <w:p>
      <w:pPr>
        <w:spacing w:line="360" w:lineRule="auto"/>
        <w:ind w:left="1400" w:leftChars="399" w:hanging="562" w:hangingChars="200"/>
        <w:rPr>
          <w:rFonts w:hint="eastAsia" w:ascii="仿宋_GB2312" w:hAnsi="仿宋_GB2312" w:eastAsia="仿宋_GB2312" w:cs="仿宋_GB2312"/>
          <w:b/>
          <w:bCs/>
          <w:sz w:val="28"/>
          <w:szCs w:val="28"/>
          <w:highlight w:val="none"/>
        </w:rPr>
      </w:pPr>
    </w:p>
    <w:p>
      <w:pPr>
        <w:spacing w:line="360" w:lineRule="auto"/>
        <w:ind w:left="1400" w:leftChars="399" w:hanging="562" w:hanging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注：</w:t>
      </w:r>
      <w:r>
        <w:rPr>
          <w:rFonts w:hint="eastAsia" w:ascii="仿宋_GB2312" w:hAnsi="仿宋_GB2312" w:eastAsia="仿宋_GB2312" w:cs="仿宋_GB2312"/>
          <w:sz w:val="28"/>
          <w:szCs w:val="28"/>
          <w:highlight w:val="none"/>
        </w:rPr>
        <w:t>只有全部满足上述评审项目合格标准的申请文件才能通过符合性评审、资格审查及响应性评审。</w:t>
      </w:r>
    </w:p>
    <w:bookmarkEnd w:id="23"/>
    <w:bookmarkEnd w:id="24"/>
    <w:bookmarkEnd w:id="25"/>
    <w:bookmarkEnd w:id="26"/>
    <w:bookmarkEnd w:id="27"/>
    <w:bookmarkEnd w:id="219"/>
    <w:bookmarkEnd w:id="220"/>
    <w:bookmarkEnd w:id="221"/>
    <w:p>
      <w:pPr>
        <w:spacing w:line="560" w:lineRule="exact"/>
        <w:ind w:firstLine="560" w:firstLineChars="200"/>
        <w:rPr>
          <w:rFonts w:hint="eastAsia" w:ascii="仿宋_GB2312" w:hAnsi="仿宋_GB2312" w:eastAsia="仿宋_GB2312" w:cs="仿宋_GB2312"/>
          <w:bCs/>
          <w:sz w:val="28"/>
          <w:szCs w:val="28"/>
        </w:rPr>
      </w:pPr>
      <w:bookmarkStart w:id="222" w:name="_Toc21545"/>
      <w:bookmarkStart w:id="223" w:name="_Toc511216078"/>
      <w:bookmarkStart w:id="224" w:name="_Toc70257528"/>
      <w:bookmarkStart w:id="225" w:name="_Toc31951"/>
      <w:bookmarkStart w:id="226" w:name="_Toc18837"/>
      <w:bookmarkStart w:id="227" w:name="_Toc4008"/>
      <w:bookmarkStart w:id="228" w:name="_Toc70257526"/>
      <w:bookmarkStart w:id="229" w:name="_Toc217446057"/>
      <w:bookmarkStart w:id="230" w:name="_Toc183682369"/>
      <w:bookmarkStart w:id="231" w:name="_Toc183582232"/>
      <w:r>
        <w:rPr>
          <w:rFonts w:hint="eastAsia" w:ascii="仿宋_GB2312" w:hAnsi="仿宋_GB2312" w:eastAsia="仿宋_GB2312" w:cs="仿宋_GB2312"/>
          <w:bCs/>
          <w:sz w:val="28"/>
          <w:szCs w:val="28"/>
        </w:rPr>
        <w:t>(2)价格评审</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谈判小组详细分析、核准报价表（以二次报价表为准），检查其是否存在计算上或累加上的算术错误，修正错误的原则如下：</w:t>
      </w:r>
    </w:p>
    <w:p>
      <w:pPr>
        <w:numPr>
          <w:ilvl w:val="1"/>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大写金额和小写金额不一致的，以大写金额为准；</w:t>
      </w:r>
    </w:p>
    <w:p>
      <w:pPr>
        <w:numPr>
          <w:ilvl w:val="1"/>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总价金额与单价金额和数量乘积不一致的，以单价金额为准，但单价金额小数点有明显错误的除外；</w:t>
      </w:r>
    </w:p>
    <w:p>
      <w:pPr>
        <w:numPr>
          <w:ilvl w:val="1"/>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对不同文字文本响应文件的解释发生异议的，以中文文本为准；</w:t>
      </w:r>
    </w:p>
    <w:p>
      <w:pPr>
        <w:numPr>
          <w:ilvl w:val="1"/>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采购人需要的服务相关事宜，如果响应人是另外单独报价的，评分时计入报价总价。</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谈判小组将按照上述修正错误的方法调整响应文件中报价，调整后的价格对响应人具有约束力。如果响应人不接受修正后的报价，则其响应文件将被拒绝。</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（3）综合评审</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谈判小组对通过符合性评审、资格审查及响应性评审的响应人的响应文件进行综合评审，评审按照下表的评分标准进行打分：</w:t>
      </w:r>
    </w:p>
    <w:tbl>
      <w:tblPr>
        <w:tblStyle w:val="17"/>
        <w:tblW w:w="9742" w:type="dxa"/>
        <w:jc w:val="center"/>
        <w:tblLayout w:type="fixed"/>
        <w:tblCellMar>
          <w:top w:w="15" w:type="dxa"/>
          <w:left w:w="15" w:type="dxa"/>
          <w:bottom w:w="15" w:type="dxa"/>
          <w:right w:w="15" w:type="dxa"/>
        </w:tblCellMar>
      </w:tblPr>
      <w:tblGrid>
        <w:gridCol w:w="885"/>
        <w:gridCol w:w="1087"/>
        <w:gridCol w:w="6548"/>
        <w:gridCol w:w="1222"/>
      </w:tblGrid>
      <w:tr>
        <w:tblPrEx>
          <w:tblCellMar>
            <w:top w:w="15" w:type="dxa"/>
            <w:left w:w="15" w:type="dxa"/>
            <w:bottom w:w="15" w:type="dxa"/>
            <w:right w:w="15" w:type="dxa"/>
          </w:tblCellMar>
        </w:tblPrEx>
        <w:trPr>
          <w:trHeight w:val="780" w:hRule="atLeast"/>
          <w:jc w:val="center"/>
        </w:trPr>
        <w:tc>
          <w:tcPr>
            <w:tcW w:w="88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项目</w:t>
            </w:r>
          </w:p>
        </w:tc>
        <w:tc>
          <w:tcPr>
            <w:tcW w:w="10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bCs/>
                <w:sz w:val="28"/>
                <w:szCs w:val="28"/>
              </w:rPr>
            </w:pPr>
            <w:r>
              <w:rPr>
                <w:rFonts w:hint="eastAsia" w:ascii="仿宋" w:hAnsi="仿宋" w:eastAsia="仿宋"/>
                <w:bCs/>
                <w:sz w:val="28"/>
                <w:szCs w:val="28"/>
              </w:rPr>
              <w:t>评分</w:t>
            </w:r>
          </w:p>
          <w:p>
            <w:pPr>
              <w:adjustRightInd w:val="0"/>
              <w:snapToGrid w:val="0"/>
              <w:jc w:val="center"/>
              <w:rPr>
                <w:rFonts w:ascii="仿宋" w:hAnsi="仿宋" w:eastAsia="仿宋"/>
                <w:bCs/>
                <w:sz w:val="28"/>
                <w:szCs w:val="28"/>
              </w:rPr>
            </w:pPr>
            <w:r>
              <w:rPr>
                <w:rFonts w:hint="eastAsia" w:ascii="仿宋" w:hAnsi="仿宋" w:eastAsia="仿宋"/>
                <w:bCs/>
                <w:sz w:val="28"/>
                <w:szCs w:val="28"/>
              </w:rPr>
              <w:t>内容</w:t>
            </w:r>
          </w:p>
        </w:tc>
        <w:tc>
          <w:tcPr>
            <w:tcW w:w="65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评分标准</w:t>
            </w:r>
          </w:p>
        </w:tc>
        <w:tc>
          <w:tcPr>
            <w:tcW w:w="12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总分</w:t>
            </w:r>
          </w:p>
        </w:tc>
      </w:tr>
      <w:tr>
        <w:tblPrEx>
          <w:tblCellMar>
            <w:top w:w="15" w:type="dxa"/>
            <w:left w:w="15" w:type="dxa"/>
            <w:bottom w:w="15" w:type="dxa"/>
            <w:right w:w="15" w:type="dxa"/>
          </w:tblCellMar>
        </w:tblPrEx>
        <w:trPr>
          <w:trHeight w:val="3523" w:hRule="atLeast"/>
          <w:jc w:val="center"/>
        </w:trPr>
        <w:tc>
          <w:tcPr>
            <w:tcW w:w="885"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一</w:t>
            </w:r>
          </w:p>
        </w:tc>
        <w:tc>
          <w:tcPr>
            <w:tcW w:w="1087"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hint="eastAsia" w:ascii="仿宋" w:hAnsi="仿宋" w:eastAsia="仿宋"/>
                <w:bCs/>
                <w:sz w:val="28"/>
                <w:szCs w:val="28"/>
              </w:rPr>
            </w:pPr>
            <w:r>
              <w:rPr>
                <w:rFonts w:hint="eastAsia" w:ascii="仿宋" w:hAnsi="仿宋" w:eastAsia="仿宋"/>
                <w:bCs/>
                <w:sz w:val="28"/>
                <w:szCs w:val="28"/>
              </w:rPr>
              <w:t>项目</w:t>
            </w:r>
          </w:p>
          <w:p>
            <w:pPr>
              <w:adjustRightInd w:val="0"/>
              <w:snapToGrid w:val="0"/>
              <w:jc w:val="center"/>
              <w:rPr>
                <w:rFonts w:ascii="仿宋" w:hAnsi="仿宋" w:eastAsia="仿宋"/>
                <w:bCs/>
                <w:sz w:val="28"/>
                <w:szCs w:val="28"/>
              </w:rPr>
            </w:pPr>
            <w:r>
              <w:rPr>
                <w:rFonts w:hint="eastAsia" w:ascii="仿宋" w:hAnsi="仿宋" w:eastAsia="仿宋"/>
                <w:bCs/>
                <w:sz w:val="28"/>
                <w:szCs w:val="28"/>
              </w:rPr>
              <w:t>报价</w:t>
            </w:r>
          </w:p>
          <w:p>
            <w:pPr>
              <w:adjustRightInd w:val="0"/>
              <w:snapToGrid w:val="0"/>
              <w:jc w:val="center"/>
              <w:rPr>
                <w:rFonts w:ascii="仿宋" w:hAnsi="仿宋" w:eastAsia="仿宋"/>
                <w:bCs/>
                <w:sz w:val="28"/>
                <w:szCs w:val="28"/>
              </w:rPr>
            </w:pPr>
            <w:r>
              <w:rPr>
                <w:rFonts w:hint="eastAsia" w:ascii="仿宋" w:hAnsi="仿宋" w:eastAsia="仿宋"/>
                <w:bCs/>
                <w:sz w:val="28"/>
                <w:szCs w:val="28"/>
              </w:rPr>
              <w:t>（30分）</w:t>
            </w:r>
          </w:p>
        </w:tc>
        <w:tc>
          <w:tcPr>
            <w:tcW w:w="6548"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left"/>
              <w:rPr>
                <w:rFonts w:hint="eastAsia" w:ascii="仿宋" w:hAnsi="仿宋" w:eastAsia="仿宋" w:cs="Times New Roman"/>
                <w:bCs/>
                <w:sz w:val="28"/>
                <w:szCs w:val="28"/>
                <w:highlight w:val="none"/>
                <w:lang w:val="en-US" w:eastAsia="zh-CN"/>
              </w:rPr>
            </w:pPr>
            <w:r>
              <w:rPr>
                <w:rFonts w:hint="eastAsia" w:ascii="仿宋" w:hAnsi="仿宋" w:eastAsia="仿宋" w:cs="Times New Roman"/>
                <w:bCs/>
                <w:sz w:val="28"/>
                <w:szCs w:val="28"/>
                <w:highlight w:val="none"/>
                <w:lang w:eastAsia="zh-CN"/>
              </w:rPr>
              <w:t>有效投标人&gt;5时，去掉一个最高报价，同时去掉一个最低报价后，评标基准价=</w:t>
            </w:r>
            <w:r>
              <w:rPr>
                <w:rFonts w:hint="eastAsia" w:ascii="仿宋" w:hAnsi="仿宋" w:eastAsia="仿宋" w:cs="Times New Roman"/>
                <w:bCs/>
                <w:sz w:val="28"/>
                <w:szCs w:val="28"/>
                <w:highlight w:val="none"/>
                <w:lang w:val="en-US" w:eastAsia="zh-CN"/>
              </w:rPr>
              <w:t>全部有效报价</w:t>
            </w:r>
            <w:r>
              <w:rPr>
                <w:rFonts w:hint="eastAsia" w:ascii="仿宋" w:hAnsi="仿宋" w:eastAsia="仿宋" w:cs="Times New Roman"/>
                <w:bCs/>
                <w:sz w:val="28"/>
                <w:szCs w:val="28"/>
                <w:highlight w:val="none"/>
                <w:lang w:eastAsia="zh-CN"/>
              </w:rPr>
              <w:t>去掉一个最高和一个最低报价后</w:t>
            </w:r>
            <w:r>
              <w:rPr>
                <w:rFonts w:hint="eastAsia" w:ascii="仿宋" w:hAnsi="仿宋" w:eastAsia="仿宋" w:cs="Times New Roman"/>
                <w:bCs/>
                <w:sz w:val="28"/>
                <w:szCs w:val="28"/>
                <w:highlight w:val="none"/>
                <w:lang w:val="en-US" w:eastAsia="zh-CN"/>
              </w:rPr>
              <w:t>的平均价</w:t>
            </w:r>
            <w:r>
              <w:rPr>
                <w:rFonts w:hint="eastAsia" w:ascii="仿宋" w:hAnsi="仿宋" w:eastAsia="仿宋"/>
                <w:bCs/>
                <w:sz w:val="28"/>
                <w:szCs w:val="28"/>
                <w:highlight w:val="none"/>
              </w:rPr>
              <w:t>（精确到小数点后两位）</w:t>
            </w:r>
            <w:r>
              <w:rPr>
                <w:rFonts w:hint="eastAsia" w:ascii="仿宋" w:hAnsi="仿宋" w:eastAsia="仿宋" w:cs="Times New Roman"/>
                <w:bCs/>
                <w:sz w:val="28"/>
                <w:szCs w:val="28"/>
                <w:highlight w:val="none"/>
                <w:lang w:val="en-US" w:eastAsia="zh-CN"/>
              </w:rPr>
              <w:t>；</w:t>
            </w:r>
          </w:p>
          <w:p>
            <w:pPr>
              <w:adjustRightInd w:val="0"/>
              <w:snapToGrid w:val="0"/>
              <w:jc w:val="left"/>
              <w:rPr>
                <w:rFonts w:hint="eastAsia" w:ascii="仿宋" w:hAnsi="仿宋" w:eastAsia="仿宋"/>
                <w:bCs/>
                <w:sz w:val="28"/>
                <w:szCs w:val="28"/>
                <w:highlight w:val="none"/>
                <w:lang w:eastAsia="zh-CN"/>
              </w:rPr>
            </w:pPr>
            <w:r>
              <w:rPr>
                <w:rFonts w:hint="eastAsia" w:ascii="仿宋" w:hAnsi="仿宋" w:eastAsia="仿宋" w:cs="Times New Roman"/>
                <w:bCs/>
                <w:sz w:val="28"/>
                <w:szCs w:val="28"/>
                <w:highlight w:val="none"/>
                <w:lang w:eastAsia="zh-CN"/>
              </w:rPr>
              <w:t>有效投标人≤5时，评标基准价</w:t>
            </w:r>
            <w:r>
              <w:rPr>
                <w:rFonts w:hint="eastAsia" w:ascii="仿宋" w:hAnsi="仿宋" w:eastAsia="仿宋" w:cs="Times New Roman"/>
                <w:bCs/>
                <w:sz w:val="28"/>
                <w:szCs w:val="28"/>
                <w:highlight w:val="none"/>
                <w:lang w:val="en-US" w:eastAsia="zh-CN"/>
              </w:rPr>
              <w:t>=</w:t>
            </w:r>
            <w:r>
              <w:rPr>
                <w:rFonts w:hint="eastAsia" w:ascii="仿宋" w:hAnsi="仿宋" w:eastAsia="仿宋"/>
                <w:bCs/>
                <w:sz w:val="28"/>
                <w:szCs w:val="28"/>
                <w:highlight w:val="none"/>
              </w:rPr>
              <w:t>全部有效报价的平均价（精确到小数点后两位）</w:t>
            </w:r>
            <w:r>
              <w:rPr>
                <w:rFonts w:hint="eastAsia" w:ascii="仿宋" w:hAnsi="仿宋" w:eastAsia="仿宋"/>
                <w:bCs/>
                <w:sz w:val="28"/>
                <w:szCs w:val="28"/>
                <w:highlight w:val="none"/>
                <w:lang w:eastAsia="zh-CN"/>
              </w:rPr>
              <w:t>。</w:t>
            </w:r>
          </w:p>
          <w:p>
            <w:pPr>
              <w:adjustRightInd w:val="0"/>
              <w:snapToGrid w:val="0"/>
              <w:jc w:val="left"/>
              <w:rPr>
                <w:rFonts w:ascii="仿宋" w:hAnsi="仿宋" w:eastAsia="仿宋"/>
                <w:bCs/>
                <w:sz w:val="28"/>
                <w:szCs w:val="28"/>
              </w:rPr>
            </w:pPr>
            <w:r>
              <w:rPr>
                <w:rFonts w:hint="eastAsia" w:ascii="仿宋" w:hAnsi="仿宋" w:eastAsia="仿宋"/>
                <w:bCs/>
                <w:sz w:val="28"/>
                <w:szCs w:val="28"/>
                <w:highlight w:val="none"/>
              </w:rPr>
              <w:t>有效报价等于基准价的得30分，与基准价相</w:t>
            </w:r>
            <w:r>
              <w:rPr>
                <w:rFonts w:hint="eastAsia" w:ascii="仿宋" w:hAnsi="仿宋" w:eastAsia="仿宋"/>
                <w:bCs/>
                <w:sz w:val="28"/>
                <w:szCs w:val="28"/>
              </w:rPr>
              <w:t>比，其有效报价每减少1%扣1分,每增加1%扣2分（不足1%，按1%计）。</w:t>
            </w:r>
          </w:p>
          <w:p>
            <w:pPr>
              <w:adjustRightInd w:val="0"/>
              <w:snapToGrid w:val="0"/>
              <w:jc w:val="left"/>
              <w:rPr>
                <w:rFonts w:ascii="仿宋" w:hAnsi="仿宋" w:eastAsia="仿宋"/>
                <w:bCs/>
                <w:sz w:val="28"/>
                <w:szCs w:val="28"/>
              </w:rPr>
            </w:pPr>
            <w:r>
              <w:rPr>
                <w:rFonts w:hint="eastAsia" w:ascii="仿宋" w:hAnsi="仿宋" w:eastAsia="仿宋"/>
                <w:bCs/>
                <w:sz w:val="28"/>
                <w:szCs w:val="28"/>
              </w:rPr>
              <w:t>计算公式：B=30-K;K=P*1/2*100;P=100%*(有效报价-基准价）/基准价（备注：其中B为项目报价得分，K为项目报价偏差扣分，P为偏差率）</w:t>
            </w:r>
          </w:p>
        </w:tc>
        <w:tc>
          <w:tcPr>
            <w:tcW w:w="1222"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30分</w:t>
            </w:r>
          </w:p>
        </w:tc>
      </w:tr>
      <w:tr>
        <w:tblPrEx>
          <w:tblCellMar>
            <w:top w:w="15" w:type="dxa"/>
            <w:left w:w="15" w:type="dxa"/>
            <w:bottom w:w="15" w:type="dxa"/>
            <w:right w:w="15" w:type="dxa"/>
          </w:tblCellMar>
        </w:tblPrEx>
        <w:trPr>
          <w:trHeight w:val="1890" w:hRule="atLeast"/>
          <w:jc w:val="center"/>
        </w:trPr>
        <w:tc>
          <w:tcPr>
            <w:tcW w:w="8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二</w:t>
            </w:r>
          </w:p>
        </w:tc>
        <w:tc>
          <w:tcPr>
            <w:tcW w:w="10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承保方案及团队实力</w:t>
            </w:r>
          </w:p>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（2</w:t>
            </w:r>
            <w:r>
              <w:rPr>
                <w:rFonts w:ascii="仿宋" w:hAnsi="仿宋" w:eastAsia="仿宋"/>
                <w:bCs/>
                <w:sz w:val="28"/>
                <w:szCs w:val="28"/>
                <w:highlight w:val="none"/>
              </w:rPr>
              <w:t>0</w:t>
            </w:r>
            <w:r>
              <w:rPr>
                <w:rFonts w:hint="eastAsia" w:ascii="仿宋" w:hAnsi="仿宋" w:eastAsia="仿宋"/>
                <w:bCs/>
                <w:sz w:val="28"/>
                <w:szCs w:val="28"/>
                <w:highlight w:val="none"/>
              </w:rPr>
              <w:t>分）</w:t>
            </w:r>
          </w:p>
        </w:tc>
        <w:tc>
          <w:tcPr>
            <w:tcW w:w="6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1.响应人提供的整体方案详细完善、层次清晰针对性强，熟悉程度高，能充分满足投保人的需求，得</w:t>
            </w:r>
            <w:r>
              <w:rPr>
                <w:rFonts w:hint="eastAsia" w:ascii="仿宋" w:hAnsi="仿宋" w:eastAsia="仿宋"/>
                <w:bCs/>
                <w:sz w:val="28"/>
                <w:szCs w:val="28"/>
                <w:highlight w:val="none"/>
                <w:lang w:val="en-US" w:eastAsia="zh-CN"/>
              </w:rPr>
              <w:t>10-8</w:t>
            </w:r>
            <w:r>
              <w:rPr>
                <w:rFonts w:hint="eastAsia" w:ascii="仿宋" w:hAnsi="仿宋" w:eastAsia="仿宋"/>
                <w:bCs/>
                <w:sz w:val="28"/>
                <w:szCs w:val="28"/>
                <w:highlight w:val="none"/>
              </w:rPr>
              <w:t>分；响应人提供的整体方案合理，较了解项目情况，满足投保人需求，得</w:t>
            </w:r>
            <w:r>
              <w:rPr>
                <w:rFonts w:hint="eastAsia" w:ascii="仿宋" w:hAnsi="仿宋" w:eastAsia="仿宋"/>
                <w:bCs/>
                <w:sz w:val="28"/>
                <w:szCs w:val="28"/>
                <w:highlight w:val="none"/>
                <w:lang w:val="en-US" w:eastAsia="zh-CN"/>
              </w:rPr>
              <w:t>5</w:t>
            </w:r>
            <w:r>
              <w:rPr>
                <w:rFonts w:ascii="仿宋" w:hAnsi="仿宋" w:eastAsia="仿宋"/>
                <w:bCs/>
                <w:sz w:val="28"/>
                <w:szCs w:val="28"/>
                <w:highlight w:val="none"/>
              </w:rPr>
              <w:t>-</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分；响应人提供的整体方案基本满足招标要求，得</w:t>
            </w:r>
            <w:r>
              <w:rPr>
                <w:rFonts w:hint="eastAsia" w:ascii="仿宋" w:hAnsi="仿宋" w:eastAsia="仿宋"/>
                <w:bCs/>
                <w:sz w:val="28"/>
                <w:szCs w:val="28"/>
                <w:highlight w:val="none"/>
                <w:lang w:val="en-US" w:eastAsia="zh-CN"/>
              </w:rPr>
              <w:t>4-0</w:t>
            </w:r>
            <w:r>
              <w:rPr>
                <w:rFonts w:hint="eastAsia" w:ascii="仿宋" w:hAnsi="仿宋" w:eastAsia="仿宋"/>
                <w:bCs/>
                <w:sz w:val="28"/>
                <w:szCs w:val="28"/>
                <w:highlight w:val="none"/>
              </w:rPr>
              <w:t>分。</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lang w:val="en-US" w:eastAsia="zh-CN"/>
              </w:rPr>
              <w:t>10</w:t>
            </w:r>
            <w:r>
              <w:rPr>
                <w:rFonts w:hint="eastAsia" w:ascii="仿宋" w:hAnsi="仿宋" w:eastAsia="仿宋"/>
                <w:bCs/>
                <w:sz w:val="28"/>
                <w:szCs w:val="28"/>
                <w:highlight w:val="none"/>
              </w:rPr>
              <w:t>分</w:t>
            </w:r>
          </w:p>
        </w:tc>
      </w:tr>
      <w:tr>
        <w:tblPrEx>
          <w:tblCellMar>
            <w:top w:w="15" w:type="dxa"/>
            <w:left w:w="15" w:type="dxa"/>
            <w:bottom w:w="15" w:type="dxa"/>
            <w:right w:w="15" w:type="dxa"/>
          </w:tblCellMar>
        </w:tblPrEx>
        <w:trPr>
          <w:trHeight w:val="817" w:hRule="atLeast"/>
          <w:jc w:val="center"/>
        </w:trPr>
        <w:tc>
          <w:tcPr>
            <w:tcW w:w="8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rPr>
            </w:pPr>
          </w:p>
        </w:tc>
        <w:tc>
          <w:tcPr>
            <w:tcW w:w="6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bCs/>
                <w:sz w:val="28"/>
                <w:szCs w:val="28"/>
              </w:rPr>
            </w:pPr>
            <w:r>
              <w:rPr>
                <w:rFonts w:hint="eastAsia" w:ascii="仿宋" w:hAnsi="仿宋" w:eastAsia="仿宋"/>
                <w:bCs/>
                <w:sz w:val="28"/>
                <w:szCs w:val="28"/>
              </w:rPr>
              <w:t>2.拟派项目团队总人数在五人及以上得</w:t>
            </w:r>
            <w:r>
              <w:rPr>
                <w:rFonts w:hint="eastAsia" w:ascii="仿宋" w:hAnsi="仿宋" w:eastAsia="仿宋"/>
                <w:bCs/>
                <w:sz w:val="28"/>
                <w:szCs w:val="28"/>
                <w:lang w:val="en-US" w:eastAsia="zh-CN"/>
              </w:rPr>
              <w:t>10</w:t>
            </w:r>
            <w:r>
              <w:rPr>
                <w:rFonts w:hint="eastAsia" w:ascii="仿宋" w:hAnsi="仿宋" w:eastAsia="仿宋"/>
                <w:bCs/>
                <w:sz w:val="28"/>
                <w:szCs w:val="28"/>
              </w:rPr>
              <w:t>分；四人得</w:t>
            </w:r>
            <w:r>
              <w:rPr>
                <w:rFonts w:hint="eastAsia" w:ascii="仿宋" w:hAnsi="仿宋" w:eastAsia="仿宋"/>
                <w:bCs/>
                <w:sz w:val="28"/>
                <w:szCs w:val="28"/>
                <w:lang w:val="en-US" w:eastAsia="zh-CN"/>
              </w:rPr>
              <w:t>5</w:t>
            </w:r>
            <w:r>
              <w:rPr>
                <w:rFonts w:hint="eastAsia" w:ascii="仿宋" w:hAnsi="仿宋" w:eastAsia="仿宋"/>
                <w:bCs/>
                <w:sz w:val="28"/>
                <w:szCs w:val="28"/>
              </w:rPr>
              <w:t>分，三人及以下得</w:t>
            </w:r>
            <w:r>
              <w:rPr>
                <w:rFonts w:hint="eastAsia" w:ascii="仿宋" w:hAnsi="仿宋" w:eastAsia="仿宋"/>
                <w:bCs/>
                <w:sz w:val="28"/>
                <w:szCs w:val="28"/>
                <w:lang w:val="en-US" w:eastAsia="zh-CN"/>
              </w:rPr>
              <w:t>2</w:t>
            </w:r>
            <w:r>
              <w:rPr>
                <w:rFonts w:hint="eastAsia" w:ascii="仿宋" w:hAnsi="仿宋" w:eastAsia="仿宋"/>
                <w:bCs/>
                <w:sz w:val="28"/>
                <w:szCs w:val="28"/>
              </w:rPr>
              <w:t>分。</w:t>
            </w:r>
          </w:p>
        </w:tc>
        <w:tc>
          <w:tcPr>
            <w:tcW w:w="12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lang w:val="en-US" w:eastAsia="zh-CN"/>
              </w:rPr>
              <w:t>10</w:t>
            </w:r>
            <w:r>
              <w:rPr>
                <w:rFonts w:hint="eastAsia" w:ascii="仿宋" w:hAnsi="仿宋" w:eastAsia="仿宋"/>
                <w:bCs/>
                <w:sz w:val="28"/>
                <w:szCs w:val="28"/>
              </w:rPr>
              <w:t>分</w:t>
            </w:r>
          </w:p>
        </w:tc>
      </w:tr>
      <w:tr>
        <w:tblPrEx>
          <w:tblCellMar>
            <w:top w:w="15" w:type="dxa"/>
            <w:left w:w="15" w:type="dxa"/>
            <w:bottom w:w="15" w:type="dxa"/>
            <w:right w:w="15" w:type="dxa"/>
          </w:tblCellMar>
        </w:tblPrEx>
        <w:trPr>
          <w:trHeight w:val="1087" w:hRule="atLeast"/>
          <w:jc w:val="center"/>
        </w:trPr>
        <w:tc>
          <w:tcPr>
            <w:tcW w:w="885" w:type="dxa"/>
            <w:vMerge w:val="restart"/>
            <w:tcBorders>
              <w:top w:val="single" w:color="auto" w:sz="4" w:space="0"/>
              <w:left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三</w:t>
            </w:r>
          </w:p>
        </w:tc>
        <w:tc>
          <w:tcPr>
            <w:tcW w:w="1087" w:type="dxa"/>
            <w:vMerge w:val="restart"/>
            <w:tcBorders>
              <w:top w:val="single" w:color="auto" w:sz="4" w:space="0"/>
              <w:left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资质及业绩经验</w:t>
            </w:r>
          </w:p>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25</w:t>
            </w:r>
            <w:r>
              <w:rPr>
                <w:rFonts w:hint="eastAsia" w:ascii="仿宋" w:hAnsi="仿宋" w:eastAsia="仿宋"/>
                <w:bCs/>
                <w:sz w:val="28"/>
                <w:szCs w:val="28"/>
                <w:highlight w:val="none"/>
              </w:rPr>
              <w:t>分）</w:t>
            </w:r>
          </w:p>
        </w:tc>
        <w:tc>
          <w:tcPr>
            <w:tcW w:w="6548"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1.响应人20</w:t>
            </w:r>
            <w:r>
              <w:rPr>
                <w:rFonts w:ascii="仿宋" w:hAnsi="仿宋" w:eastAsia="仿宋"/>
                <w:bCs/>
                <w:sz w:val="28"/>
                <w:szCs w:val="28"/>
                <w:highlight w:val="none"/>
              </w:rPr>
              <w:t>21</w:t>
            </w:r>
            <w:r>
              <w:rPr>
                <w:rFonts w:hint="eastAsia" w:ascii="仿宋" w:hAnsi="仿宋" w:eastAsia="仿宋"/>
                <w:bCs/>
                <w:sz w:val="28"/>
                <w:szCs w:val="28"/>
                <w:highlight w:val="none"/>
              </w:rPr>
              <w:t>年一季度、二季度、三季度、四季度风险综合评级均为A得1</w:t>
            </w:r>
            <w:r>
              <w:rPr>
                <w:rFonts w:ascii="仿宋" w:hAnsi="仿宋" w:eastAsia="仿宋"/>
                <w:bCs/>
                <w:sz w:val="28"/>
                <w:szCs w:val="28"/>
                <w:highlight w:val="none"/>
              </w:rPr>
              <w:t>0</w:t>
            </w:r>
            <w:r>
              <w:rPr>
                <w:rFonts w:hint="eastAsia" w:ascii="仿宋" w:hAnsi="仿宋" w:eastAsia="仿宋"/>
                <w:bCs/>
                <w:sz w:val="28"/>
                <w:szCs w:val="28"/>
                <w:highlight w:val="none"/>
              </w:rPr>
              <w:t>分，有一次评级为B扣5分，两次评级为B不得分。</w:t>
            </w:r>
          </w:p>
        </w:tc>
        <w:tc>
          <w:tcPr>
            <w:tcW w:w="1222"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r>
              <w:rPr>
                <w:rFonts w:ascii="仿宋" w:hAnsi="仿宋" w:eastAsia="仿宋"/>
                <w:bCs/>
                <w:sz w:val="28"/>
                <w:szCs w:val="28"/>
                <w:highlight w:val="none"/>
              </w:rPr>
              <w:t>10</w:t>
            </w:r>
            <w:r>
              <w:rPr>
                <w:rFonts w:hint="eastAsia" w:ascii="仿宋" w:hAnsi="仿宋" w:eastAsia="仿宋"/>
                <w:bCs/>
                <w:sz w:val="28"/>
                <w:szCs w:val="28"/>
                <w:highlight w:val="none"/>
              </w:rPr>
              <w:t>分</w:t>
            </w:r>
          </w:p>
        </w:tc>
      </w:tr>
      <w:tr>
        <w:tblPrEx>
          <w:tblCellMar>
            <w:top w:w="15" w:type="dxa"/>
            <w:left w:w="15" w:type="dxa"/>
            <w:bottom w:w="15" w:type="dxa"/>
            <w:right w:w="15" w:type="dxa"/>
          </w:tblCellMar>
        </w:tblPrEx>
        <w:trPr>
          <w:trHeight w:val="1075" w:hRule="atLeast"/>
          <w:jc w:val="center"/>
        </w:trPr>
        <w:tc>
          <w:tcPr>
            <w:tcW w:w="885"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rPr>
            </w:pPr>
          </w:p>
        </w:tc>
        <w:tc>
          <w:tcPr>
            <w:tcW w:w="1087"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p>
        </w:tc>
        <w:tc>
          <w:tcPr>
            <w:tcW w:w="65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 w:hAnsi="仿宋" w:eastAsia="仿宋"/>
                <w:bCs/>
                <w:sz w:val="28"/>
                <w:szCs w:val="28"/>
                <w:highlight w:val="none"/>
              </w:rPr>
            </w:pPr>
            <w:r>
              <w:rPr>
                <w:rFonts w:hint="eastAsia" w:ascii="仿宋" w:hAnsi="仿宋" w:eastAsia="仿宋"/>
                <w:bCs/>
                <w:sz w:val="28"/>
                <w:szCs w:val="28"/>
                <w:highlight w:val="none"/>
              </w:rPr>
              <w:t>2.近两年来响应人承保人数不低于1</w:t>
            </w:r>
            <w:r>
              <w:rPr>
                <w:rFonts w:ascii="仿宋" w:hAnsi="仿宋" w:eastAsia="仿宋"/>
                <w:bCs/>
                <w:sz w:val="28"/>
                <w:szCs w:val="28"/>
                <w:highlight w:val="none"/>
              </w:rPr>
              <w:t>000</w:t>
            </w:r>
            <w:r>
              <w:rPr>
                <w:rFonts w:hint="eastAsia" w:ascii="仿宋" w:hAnsi="仿宋" w:eastAsia="仿宋"/>
                <w:bCs/>
                <w:sz w:val="28"/>
                <w:szCs w:val="28"/>
                <w:highlight w:val="none"/>
              </w:rPr>
              <w:t>人（含1</w:t>
            </w:r>
            <w:r>
              <w:rPr>
                <w:rFonts w:ascii="仿宋" w:hAnsi="仿宋" w:eastAsia="仿宋"/>
                <w:bCs/>
                <w:sz w:val="28"/>
                <w:szCs w:val="28"/>
                <w:highlight w:val="none"/>
              </w:rPr>
              <w:t>000</w:t>
            </w:r>
            <w:r>
              <w:rPr>
                <w:rFonts w:hint="eastAsia" w:ascii="仿宋" w:hAnsi="仿宋" w:eastAsia="仿宋"/>
                <w:bCs/>
                <w:sz w:val="28"/>
                <w:szCs w:val="28"/>
                <w:highlight w:val="none"/>
              </w:rPr>
              <w:t>人）的补充医疗保险业绩，数量有</w:t>
            </w:r>
            <w:r>
              <w:rPr>
                <w:rFonts w:hint="eastAsia" w:ascii="仿宋" w:hAnsi="仿宋" w:eastAsia="仿宋"/>
                <w:bCs/>
                <w:sz w:val="28"/>
                <w:szCs w:val="28"/>
                <w:highlight w:val="none"/>
                <w:lang w:val="en-US" w:eastAsia="zh-CN"/>
              </w:rPr>
              <w:t>2</w:t>
            </w:r>
            <w:r>
              <w:rPr>
                <w:rFonts w:hint="eastAsia" w:ascii="仿宋" w:hAnsi="仿宋" w:eastAsia="仿宋"/>
                <w:bCs/>
                <w:sz w:val="28"/>
                <w:szCs w:val="28"/>
                <w:highlight w:val="none"/>
              </w:rPr>
              <w:t>个及以上的得</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分，每增加1个加1分，最高15分。</w:t>
            </w:r>
          </w:p>
        </w:tc>
        <w:tc>
          <w:tcPr>
            <w:tcW w:w="1222"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15分</w:t>
            </w:r>
          </w:p>
        </w:tc>
      </w:tr>
      <w:tr>
        <w:tblPrEx>
          <w:tblCellMar>
            <w:top w:w="15" w:type="dxa"/>
            <w:left w:w="15" w:type="dxa"/>
            <w:bottom w:w="15" w:type="dxa"/>
            <w:right w:w="15" w:type="dxa"/>
          </w:tblCellMar>
        </w:tblPrEx>
        <w:trPr>
          <w:trHeight w:val="764" w:hRule="atLeast"/>
          <w:jc w:val="center"/>
        </w:trPr>
        <w:tc>
          <w:tcPr>
            <w:tcW w:w="88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四</w:t>
            </w:r>
          </w:p>
        </w:tc>
        <w:tc>
          <w:tcPr>
            <w:tcW w:w="108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bCs/>
                <w:sz w:val="28"/>
                <w:szCs w:val="28"/>
                <w:highlight w:val="none"/>
              </w:rPr>
            </w:pPr>
            <w:r>
              <w:rPr>
                <w:rFonts w:hint="eastAsia" w:ascii="仿宋" w:hAnsi="仿宋" w:eastAsia="仿宋"/>
                <w:bCs/>
                <w:sz w:val="28"/>
                <w:szCs w:val="28"/>
                <w:highlight w:val="none"/>
              </w:rPr>
              <w:t>售后服务及其他应答方案</w:t>
            </w:r>
          </w:p>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25</w:t>
            </w:r>
            <w:r>
              <w:rPr>
                <w:rFonts w:hint="eastAsia" w:ascii="仿宋" w:hAnsi="仿宋" w:eastAsia="仿宋"/>
                <w:bCs/>
                <w:sz w:val="28"/>
                <w:szCs w:val="28"/>
                <w:highlight w:val="none"/>
              </w:rPr>
              <w:t>分）</w:t>
            </w:r>
          </w:p>
        </w:tc>
        <w:tc>
          <w:tcPr>
            <w:tcW w:w="65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1.售后服务范围理解程度（能够准确把握投保人的售后需求）优5-3分；良2-1分；差0分。</w:t>
            </w:r>
          </w:p>
        </w:tc>
        <w:tc>
          <w:tcPr>
            <w:tcW w:w="12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r>
              <w:rPr>
                <w:rFonts w:hint="eastAsia" w:ascii="仿宋" w:hAnsi="仿宋" w:eastAsia="仿宋"/>
                <w:bCs/>
                <w:sz w:val="28"/>
                <w:szCs w:val="28"/>
                <w:highlight w:val="none"/>
              </w:rPr>
              <w:t>5分</w:t>
            </w:r>
          </w:p>
        </w:tc>
      </w:tr>
      <w:tr>
        <w:tblPrEx>
          <w:tblCellMar>
            <w:top w:w="15" w:type="dxa"/>
            <w:left w:w="15" w:type="dxa"/>
            <w:bottom w:w="15" w:type="dxa"/>
            <w:right w:w="15" w:type="dxa"/>
          </w:tblCellMar>
        </w:tblPrEx>
        <w:trPr>
          <w:trHeight w:val="819" w:hRule="atLeast"/>
          <w:jc w:val="center"/>
        </w:trPr>
        <w:tc>
          <w:tcPr>
            <w:tcW w:w="885" w:type="dxa"/>
            <w:vMerge w:val="continue"/>
            <w:tcBorders>
              <w:left w:val="single" w:color="000000" w:sz="4" w:space="0"/>
              <w:right w:val="single" w:color="000000" w:sz="4" w:space="0"/>
            </w:tcBorders>
            <w:vAlign w:val="center"/>
          </w:tcPr>
          <w:p>
            <w:pPr>
              <w:adjustRightInd w:val="0"/>
              <w:snapToGrid w:val="0"/>
              <w:jc w:val="left"/>
              <w:rPr>
                <w:rFonts w:ascii="仿宋" w:hAnsi="仿宋" w:eastAsia="仿宋"/>
                <w:bCs/>
                <w:sz w:val="28"/>
                <w:szCs w:val="28"/>
              </w:rPr>
            </w:pPr>
          </w:p>
        </w:tc>
        <w:tc>
          <w:tcPr>
            <w:tcW w:w="108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rPr>
            </w:pPr>
          </w:p>
        </w:tc>
        <w:tc>
          <w:tcPr>
            <w:tcW w:w="65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rPr>
            </w:pPr>
            <w:r>
              <w:rPr>
                <w:rFonts w:hint="eastAsia" w:ascii="仿宋" w:hAnsi="仿宋" w:eastAsia="仿宋"/>
                <w:bCs/>
                <w:sz w:val="28"/>
                <w:szCs w:val="28"/>
              </w:rPr>
              <w:t>2.售后服务方案详细程度</w:t>
            </w:r>
            <w:r>
              <w:rPr>
                <w:rFonts w:ascii="仿宋" w:hAnsi="仿宋" w:eastAsia="仿宋"/>
                <w:bCs/>
                <w:sz w:val="28"/>
                <w:szCs w:val="28"/>
              </w:rPr>
              <w:t>（内容详细，重点突出，责任明确）</w:t>
            </w:r>
            <w:r>
              <w:rPr>
                <w:rFonts w:hint="eastAsia" w:ascii="仿宋" w:hAnsi="仿宋" w:eastAsia="仿宋"/>
                <w:bCs/>
                <w:sz w:val="28"/>
                <w:szCs w:val="28"/>
              </w:rPr>
              <w:t>优5-3分；良2-1分；差0分。</w:t>
            </w:r>
          </w:p>
        </w:tc>
        <w:tc>
          <w:tcPr>
            <w:tcW w:w="12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rPr>
            </w:pPr>
            <w:r>
              <w:rPr>
                <w:rFonts w:hint="eastAsia" w:ascii="仿宋" w:hAnsi="仿宋" w:eastAsia="仿宋"/>
                <w:bCs/>
                <w:sz w:val="28"/>
                <w:szCs w:val="28"/>
              </w:rPr>
              <w:t>5分</w:t>
            </w:r>
          </w:p>
        </w:tc>
      </w:tr>
      <w:tr>
        <w:tblPrEx>
          <w:tblCellMar>
            <w:top w:w="15" w:type="dxa"/>
            <w:left w:w="15" w:type="dxa"/>
            <w:bottom w:w="15" w:type="dxa"/>
            <w:right w:w="15" w:type="dxa"/>
          </w:tblCellMar>
        </w:tblPrEx>
        <w:trPr>
          <w:trHeight w:val="612" w:hRule="atLeast"/>
          <w:jc w:val="center"/>
        </w:trPr>
        <w:tc>
          <w:tcPr>
            <w:tcW w:w="885" w:type="dxa"/>
            <w:vMerge w:val="continue"/>
            <w:tcBorders>
              <w:left w:val="single" w:color="000000" w:sz="4" w:space="0"/>
              <w:right w:val="single" w:color="000000" w:sz="4" w:space="0"/>
            </w:tcBorders>
            <w:vAlign w:val="center"/>
          </w:tcPr>
          <w:p>
            <w:pPr>
              <w:adjustRightInd w:val="0"/>
              <w:snapToGrid w:val="0"/>
              <w:jc w:val="left"/>
              <w:rPr>
                <w:rFonts w:ascii="仿宋" w:hAnsi="仿宋" w:eastAsia="仿宋"/>
                <w:bCs/>
                <w:sz w:val="28"/>
                <w:szCs w:val="28"/>
              </w:rPr>
            </w:pPr>
          </w:p>
        </w:tc>
        <w:tc>
          <w:tcPr>
            <w:tcW w:w="1087"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highlight w:val="none"/>
              </w:rPr>
            </w:pPr>
          </w:p>
        </w:tc>
        <w:tc>
          <w:tcPr>
            <w:tcW w:w="65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3.对以下</w:t>
            </w:r>
            <w:r>
              <w:rPr>
                <w:rFonts w:ascii="仿宋" w:hAnsi="仿宋" w:eastAsia="仿宋"/>
                <w:bCs/>
                <w:sz w:val="28"/>
                <w:szCs w:val="28"/>
                <w:highlight w:val="none"/>
              </w:rPr>
              <w:t>3</w:t>
            </w:r>
            <w:r>
              <w:rPr>
                <w:rFonts w:hint="eastAsia" w:ascii="仿宋" w:hAnsi="仿宋" w:eastAsia="仿宋"/>
                <w:bCs/>
                <w:sz w:val="28"/>
                <w:szCs w:val="28"/>
                <w:highlight w:val="none"/>
              </w:rPr>
              <w:t>种服务类型所提供方案的全面性、针对性、合理性进行评审，每种类型优得5分；良得3分；中得1分；差或无服务方案得0分。</w:t>
            </w:r>
          </w:p>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（1）风险防范培训(5分)</w:t>
            </w:r>
          </w:p>
          <w:p>
            <w:pPr>
              <w:adjustRightInd w:val="0"/>
              <w:snapToGrid w:val="0"/>
              <w:jc w:val="left"/>
              <w:rPr>
                <w:rFonts w:ascii="仿宋" w:hAnsi="仿宋" w:eastAsia="仿宋"/>
                <w:bCs/>
                <w:sz w:val="28"/>
                <w:szCs w:val="28"/>
                <w:highlight w:val="none"/>
              </w:rPr>
            </w:pPr>
            <w:r>
              <w:rPr>
                <w:rFonts w:hint="eastAsia" w:ascii="仿宋" w:hAnsi="仿宋" w:eastAsia="仿宋"/>
                <w:bCs/>
                <w:sz w:val="28"/>
                <w:szCs w:val="28"/>
                <w:highlight w:val="none"/>
              </w:rPr>
              <w:t>（2）及时响应(5分)</w:t>
            </w:r>
          </w:p>
          <w:p>
            <w:pPr>
              <w:adjustRightInd w:val="0"/>
              <w:snapToGrid w:val="0"/>
              <w:jc w:val="left"/>
              <w:rPr>
                <w:rFonts w:hint="eastAsia" w:ascii="仿宋" w:hAnsi="仿宋" w:eastAsia="仿宋"/>
                <w:bCs/>
                <w:sz w:val="28"/>
                <w:szCs w:val="28"/>
                <w:highlight w:val="none"/>
              </w:rPr>
            </w:pPr>
            <w:r>
              <w:rPr>
                <w:rFonts w:hint="eastAsia" w:ascii="仿宋" w:hAnsi="仿宋" w:eastAsia="仿宋"/>
                <w:bCs/>
                <w:sz w:val="28"/>
                <w:szCs w:val="28"/>
                <w:highlight w:val="none"/>
              </w:rPr>
              <w:t>（3）定期回访(5分)</w:t>
            </w:r>
          </w:p>
        </w:tc>
        <w:tc>
          <w:tcPr>
            <w:tcW w:w="12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hAnsi="仿宋" w:eastAsia="仿宋"/>
                <w:bCs/>
                <w:sz w:val="28"/>
                <w:szCs w:val="28"/>
                <w:highlight w:val="none"/>
              </w:rPr>
            </w:pPr>
            <w:r>
              <w:rPr>
                <w:rFonts w:ascii="仿宋" w:hAnsi="仿宋" w:eastAsia="仿宋"/>
                <w:bCs/>
                <w:sz w:val="28"/>
                <w:szCs w:val="28"/>
                <w:highlight w:val="none"/>
              </w:rPr>
              <w:t>15</w:t>
            </w:r>
            <w:r>
              <w:rPr>
                <w:rFonts w:hint="eastAsia" w:ascii="仿宋" w:hAnsi="仿宋" w:eastAsia="仿宋"/>
                <w:bCs/>
                <w:sz w:val="28"/>
                <w:szCs w:val="28"/>
                <w:highlight w:val="none"/>
              </w:rPr>
              <w:t>分</w:t>
            </w:r>
          </w:p>
        </w:tc>
      </w:tr>
    </w:tbl>
    <w:p>
      <w:pPr>
        <w:spacing w:line="360" w:lineRule="auto"/>
        <w:jc w:val="left"/>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（4）编写竞争性谈判报告</w:t>
      </w:r>
    </w:p>
    <w:p>
      <w:pPr>
        <w:pStyle w:val="16"/>
        <w:spacing w:before="0" w:after="0" w:line="560" w:lineRule="exact"/>
        <w:ind w:firstLine="560" w:firstLineChars="200"/>
        <w:jc w:val="both"/>
        <w:outlineLvl w:val="1"/>
        <w:rPr>
          <w:rFonts w:hint="eastAsia" w:ascii="仿宋" w:hAnsi="仿宋" w:eastAsia="仿宋" w:cs="仿宋"/>
          <w:b w:val="0"/>
          <w:sz w:val="28"/>
          <w:szCs w:val="28"/>
        </w:rPr>
        <w:sectPr>
          <w:headerReference r:id="rId12" w:type="default"/>
          <w:footerReference r:id="rId13" w:type="default"/>
          <w:pgSz w:w="11907" w:h="16840"/>
          <w:pgMar w:top="1440" w:right="1474" w:bottom="1440" w:left="1474" w:header="851" w:footer="992" w:gutter="0"/>
          <w:pgNumType w:fmt="decimal"/>
          <w:cols w:space="720" w:num="1"/>
          <w:docGrid w:linePitch="312" w:charSpace="0"/>
        </w:sectPr>
      </w:pPr>
      <w:r>
        <w:rPr>
          <w:rFonts w:hint="eastAsia" w:ascii="仿宋_GB2312" w:hAnsi="仿宋_GB2312" w:eastAsia="仿宋_GB2312" w:cs="仿宋_GB2312"/>
          <w:b w:val="0"/>
          <w:sz w:val="28"/>
          <w:szCs w:val="28"/>
        </w:rPr>
        <w:t>谈判小组将根据经评审的响应人综合得分由高到低进行排序，综合得分最高的前三位的响应人推荐为成交候选人。</w:t>
      </w:r>
    </w:p>
    <w:p>
      <w:pPr>
        <w:widowControl/>
        <w:spacing w:line="288" w:lineRule="auto"/>
        <w:jc w:val="center"/>
        <w:outlineLvl w:val="0"/>
        <w:rPr>
          <w:rFonts w:hint="default"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 xml:space="preserve">第四章 </w:t>
      </w:r>
      <w:bookmarkEnd w:id="222"/>
      <w:bookmarkEnd w:id="223"/>
      <w:bookmarkEnd w:id="224"/>
      <w:r>
        <w:rPr>
          <w:rFonts w:hint="eastAsia" w:ascii="方正小标宋简体" w:hAnsi="方正小标宋简体" w:eastAsia="方正小标宋简体" w:cs="方正小标宋简体"/>
          <w:b w:val="0"/>
          <w:bCs w:val="0"/>
          <w:sz w:val="36"/>
          <w:szCs w:val="36"/>
          <w:highlight w:val="none"/>
          <w:lang w:val="en-US" w:eastAsia="zh-CN"/>
        </w:rPr>
        <w:t xml:space="preserve"> 合同条款及格式</w:t>
      </w:r>
      <w:bookmarkEnd w:id="225"/>
      <w:bookmarkEnd w:id="226"/>
    </w:p>
    <w:p>
      <w:pPr>
        <w:spacing w:line="288" w:lineRule="auto"/>
        <w:ind w:firstLine="562" w:firstLineChars="200"/>
        <w:rPr>
          <w:rFonts w:ascii="宋体" w:hAnsi="宋体" w:cs="宋体"/>
          <w:b/>
          <w:bCs/>
          <w:sz w:val="28"/>
          <w:szCs w:val="28"/>
          <w:highlight w:val="none"/>
        </w:rPr>
      </w:pPr>
    </w:p>
    <w:p>
      <w:pPr>
        <w:keepNext w:val="0"/>
        <w:keepLines w:val="0"/>
        <w:pageBreakBefore w:val="0"/>
        <w:widowControl w:val="0"/>
        <w:kinsoku/>
        <w:wordWrap/>
        <w:overflowPunct/>
        <w:topLinePunct w:val="0"/>
        <w:bidi w:val="0"/>
        <w:adjustRightInd/>
        <w:spacing w:line="560" w:lineRule="exact"/>
        <w:ind w:firstLine="560" w:firstLineChars="200"/>
        <w:textAlignment w:val="auto"/>
        <w:outlineLvl w:val="2"/>
        <w:rPr>
          <w:rFonts w:hint="eastAsia" w:ascii="黑体" w:hAnsi="黑体" w:eastAsia="黑体" w:cs="黑体"/>
          <w:sz w:val="28"/>
          <w:szCs w:val="28"/>
          <w:highlight w:val="none"/>
          <w:lang w:val="en-US" w:eastAsia="zh-CN"/>
        </w:rPr>
      </w:pPr>
      <w:bookmarkStart w:id="232" w:name="_Toc18797"/>
      <w:r>
        <w:rPr>
          <w:rFonts w:hint="eastAsia" w:ascii="黑体" w:hAnsi="黑体" w:eastAsia="黑体" w:cs="黑体"/>
          <w:sz w:val="28"/>
          <w:szCs w:val="28"/>
          <w:highlight w:val="none"/>
        </w:rPr>
        <w:t>一、</w:t>
      </w:r>
      <w:r>
        <w:rPr>
          <w:rFonts w:hint="eastAsia" w:ascii="黑体" w:hAnsi="黑体" w:eastAsia="黑体" w:cs="黑体"/>
          <w:sz w:val="28"/>
          <w:szCs w:val="28"/>
          <w:highlight w:val="none"/>
          <w:lang w:val="en-US" w:eastAsia="zh-CN"/>
        </w:rPr>
        <w:t>采购合同草案条款变动</w:t>
      </w:r>
      <w:bookmarkEnd w:id="232"/>
    </w:p>
    <w:p>
      <w:pPr>
        <w:keepNext w:val="0"/>
        <w:keepLines w:val="0"/>
        <w:pageBreakBefore w:val="0"/>
        <w:widowControl w:val="0"/>
        <w:kinsoku/>
        <w:wordWrap/>
        <w:overflowPunct/>
        <w:topLinePunct w:val="0"/>
        <w:bidi w:val="0"/>
        <w:adjustRightIn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针对本章所包含的全部内容，在谈判过程中，谈判小组在获得采购人代表确认的前提下，可以根据谈判情况实质性变动相关内容。谈判小组对谈判文件作出的实质性变动是谈判文件的有效组成部分，谈判小组会及时以书面形式通知所有参加谈判的</w:t>
      </w:r>
      <w:r>
        <w:rPr>
          <w:rFonts w:hint="eastAsia" w:ascii="仿宋_GB2312" w:hAnsi="仿宋_GB2312" w:eastAsia="仿宋_GB2312" w:cs="仿宋_GB2312"/>
          <w:sz w:val="28"/>
          <w:szCs w:val="28"/>
          <w:highlight w:val="none"/>
          <w:lang w:eastAsia="zh-CN"/>
        </w:rPr>
        <w:t>响应人</w:t>
      </w:r>
      <w:r>
        <w:rPr>
          <w:rFonts w:hint="eastAsia" w:ascii="仿宋_GB2312" w:hAnsi="仿宋_GB2312" w:eastAsia="仿宋_GB2312" w:cs="仿宋_GB2312"/>
          <w:sz w:val="28"/>
          <w:szCs w:val="28"/>
          <w:highlight w:val="none"/>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560" w:firstLineChars="200"/>
        <w:textAlignment w:val="auto"/>
        <w:outlineLvl w:val="2"/>
        <w:rPr>
          <w:rFonts w:hint="eastAsia" w:ascii="黑体" w:hAnsi="黑体" w:eastAsia="黑体" w:cs="黑体"/>
          <w:sz w:val="28"/>
          <w:szCs w:val="28"/>
          <w:highlight w:val="none"/>
          <w:lang w:eastAsia="zh-CN"/>
        </w:rPr>
      </w:pPr>
      <w:bookmarkStart w:id="233" w:name="_Toc14697"/>
      <w:r>
        <w:rPr>
          <w:rFonts w:hint="eastAsia" w:ascii="黑体" w:hAnsi="黑体" w:eastAsia="黑体" w:cs="黑体"/>
          <w:sz w:val="28"/>
          <w:szCs w:val="28"/>
          <w:highlight w:val="none"/>
        </w:rPr>
        <w:t>二、</w:t>
      </w:r>
      <w:r>
        <w:rPr>
          <w:rFonts w:hint="eastAsia" w:ascii="黑体" w:hAnsi="黑体" w:eastAsia="黑体" w:cs="黑体"/>
          <w:sz w:val="28"/>
          <w:szCs w:val="28"/>
          <w:highlight w:val="none"/>
          <w:lang w:val="en-US" w:eastAsia="zh-CN"/>
        </w:rPr>
        <w:t>采购</w:t>
      </w:r>
      <w:r>
        <w:rPr>
          <w:rFonts w:hint="eastAsia" w:ascii="黑体" w:hAnsi="黑体" w:eastAsia="黑体" w:cs="黑体"/>
          <w:sz w:val="28"/>
          <w:szCs w:val="28"/>
          <w:highlight w:val="none"/>
        </w:rPr>
        <w:t>合同</w:t>
      </w:r>
      <w:r>
        <w:rPr>
          <w:rFonts w:hint="eastAsia" w:ascii="黑体" w:hAnsi="黑体" w:eastAsia="黑体" w:cs="黑体"/>
          <w:sz w:val="28"/>
          <w:szCs w:val="28"/>
          <w:highlight w:val="none"/>
          <w:lang w:eastAsia="zh-CN"/>
        </w:rPr>
        <w:t>（</w:t>
      </w:r>
      <w:r>
        <w:rPr>
          <w:rFonts w:hint="eastAsia" w:ascii="黑体" w:hAnsi="黑体" w:eastAsia="黑体" w:cs="黑体"/>
          <w:sz w:val="28"/>
          <w:szCs w:val="28"/>
          <w:highlight w:val="none"/>
        </w:rPr>
        <w:t>草案</w:t>
      </w:r>
      <w:r>
        <w:rPr>
          <w:rFonts w:hint="eastAsia" w:ascii="黑体" w:hAnsi="黑体" w:eastAsia="黑体" w:cs="黑体"/>
          <w:sz w:val="28"/>
          <w:szCs w:val="28"/>
          <w:highlight w:val="none"/>
          <w:lang w:eastAsia="zh-CN"/>
        </w:rPr>
        <w:t>）</w:t>
      </w:r>
      <w:bookmarkEnd w:id="233"/>
    </w:p>
    <w:p>
      <w:pPr>
        <w:keepNext w:val="0"/>
        <w:keepLines w:val="0"/>
        <w:pageBreakBefore w:val="0"/>
        <w:widowControl w:val="0"/>
        <w:kinsoku/>
        <w:wordWrap/>
        <w:overflowPunct/>
        <w:topLinePunct w:val="0"/>
        <w:bidi w:val="0"/>
        <w:adjustRightIn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附后</w:t>
      </w:r>
    </w:p>
    <w:p>
      <w:pPr>
        <w:snapToGrid w:val="0"/>
        <w:spacing w:line="360" w:lineRule="auto"/>
        <w:ind w:firstLine="539"/>
        <w:jc w:val="center"/>
        <w:rPr>
          <w:rFonts w:ascii="Times New Roman" w:eastAsia="黑体"/>
          <w:color w:val="FF0000"/>
          <w:spacing w:val="60"/>
          <w:sz w:val="28"/>
          <w:szCs w:val="28"/>
          <w:highlight w:val="none"/>
        </w:rPr>
        <w:sectPr>
          <w:headerReference r:id="rId14" w:type="default"/>
          <w:footerReference r:id="rId15" w:type="default"/>
          <w:pgSz w:w="11906" w:h="16838"/>
          <w:pgMar w:top="1440" w:right="1700" w:bottom="1440" w:left="1800" w:header="851" w:footer="992" w:gutter="0"/>
          <w:pgNumType w:fmt="decimal"/>
          <w:cols w:space="720" w:num="1"/>
          <w:docGrid w:type="lines" w:linePitch="312" w:charSpace="0"/>
        </w:sectPr>
      </w:pPr>
    </w:p>
    <w:p>
      <w:pPr>
        <w:snapToGrid w:val="0"/>
        <w:spacing w:line="360" w:lineRule="auto"/>
        <w:ind w:firstLine="539"/>
        <w:jc w:val="center"/>
        <w:rPr>
          <w:rFonts w:hint="eastAsia" w:ascii="Times New Roman" w:eastAsia="黑体"/>
          <w:color w:val="auto"/>
          <w:spacing w:val="60"/>
          <w:sz w:val="32"/>
          <w:szCs w:val="32"/>
          <w:highlight w:val="none"/>
        </w:rPr>
      </w:pPr>
      <w:r>
        <w:rPr>
          <w:rFonts w:hint="eastAsia" w:ascii="Times New Roman" w:eastAsia="黑体"/>
          <w:color w:val="auto"/>
          <w:spacing w:val="60"/>
          <w:sz w:val="32"/>
          <w:szCs w:val="32"/>
          <w:highlight w:val="none"/>
          <w:lang w:eastAsia="zh-CN"/>
        </w:rPr>
        <w:t>保险</w:t>
      </w:r>
      <w:r>
        <w:rPr>
          <w:rFonts w:hint="eastAsia" w:ascii="Times New Roman" w:eastAsia="黑体"/>
          <w:color w:val="auto"/>
          <w:spacing w:val="60"/>
          <w:sz w:val="32"/>
          <w:szCs w:val="32"/>
          <w:highlight w:val="none"/>
        </w:rPr>
        <w:t>服务协议</w:t>
      </w:r>
    </w:p>
    <w:p>
      <w:pPr>
        <w:spacing w:line="440" w:lineRule="exact"/>
        <w:rPr>
          <w:rFonts w:hint="eastAsia" w:ascii="宋体" w:hAnsi="宋体" w:cs="宋体"/>
          <w:sz w:val="28"/>
          <w:szCs w:val="28"/>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鉴于：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Times New Roman" w:hAnsi="Times New Roman"/>
          <w:color w:val="auto"/>
          <w:sz w:val="28"/>
          <w:szCs w:val="28"/>
          <w:highlight w:val="none"/>
        </w:rPr>
      </w:pPr>
      <w:r>
        <w:rPr>
          <w:rFonts w:hint="eastAsia" w:ascii="仿宋_GB2312" w:hAnsi="仿宋_GB2312" w:eastAsia="仿宋_GB2312" w:cs="仿宋_GB2312"/>
          <w:color w:val="auto"/>
          <w:sz w:val="28"/>
          <w:szCs w:val="28"/>
          <w:highlight w:val="none"/>
        </w:rPr>
        <w:t>本合同签约各方就本合同书中所描述的技术服务内容、工作条件、费用支付、验收标准、违约责任以及与之相关的技术和法律问题经过平等协商，在真实、充分地表达各自意愿的基础上，根据《中华人民共和国</w:t>
      </w:r>
      <w:r>
        <w:rPr>
          <w:rFonts w:hint="eastAsia" w:ascii="仿宋_GB2312" w:hAnsi="仿宋_GB2312" w:eastAsia="仿宋_GB2312" w:cs="仿宋_GB2312"/>
          <w:color w:val="auto"/>
          <w:sz w:val="28"/>
          <w:szCs w:val="28"/>
          <w:highlight w:val="none"/>
          <w:lang w:eastAsia="zh-CN"/>
        </w:rPr>
        <w:t>民法典</w:t>
      </w:r>
      <w:r>
        <w:rPr>
          <w:rFonts w:hint="eastAsia" w:ascii="仿宋_GB2312" w:hAnsi="仿宋_GB2312" w:eastAsia="仿宋_GB2312" w:cs="仿宋_GB2312"/>
          <w:color w:val="auto"/>
          <w:sz w:val="28"/>
          <w:szCs w:val="28"/>
          <w:highlight w:val="none"/>
        </w:rPr>
        <w:t>》之规定，按照</w:t>
      </w:r>
      <w:r>
        <w:rPr>
          <w:rFonts w:hint="eastAsia" w:ascii="仿宋_GB2312" w:hAnsi="仿宋_GB2312" w:eastAsia="仿宋_GB2312" w:cs="仿宋_GB2312"/>
          <w:color w:val="auto"/>
          <w:sz w:val="28"/>
          <w:szCs w:val="28"/>
          <w:highlight w:val="none"/>
          <w:lang w:eastAsia="zh-CN"/>
        </w:rPr>
        <w:t>相关</w:t>
      </w:r>
      <w:r>
        <w:rPr>
          <w:rFonts w:hint="eastAsia" w:ascii="仿宋_GB2312" w:hAnsi="仿宋_GB2312" w:eastAsia="仿宋_GB2312" w:cs="仿宋_GB2312"/>
          <w:color w:val="auto"/>
          <w:sz w:val="28"/>
          <w:szCs w:val="28"/>
          <w:highlight w:val="none"/>
        </w:rPr>
        <w:t>要求，达成如下协议，由签约各方共同恪守。</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 xml:space="preserve"> </w:t>
      </w:r>
      <w:r>
        <w:rPr>
          <w:rFonts w:ascii="Times New Roman" w:eastAsia="黑体"/>
          <w:color w:val="auto"/>
          <w:sz w:val="28"/>
          <w:szCs w:val="28"/>
          <w:highlight w:val="none"/>
        </w:rPr>
        <w:t>签约方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甲方（委托方）：</w:t>
      </w:r>
      <w:r>
        <w:rPr>
          <w:rFonts w:hint="eastAsia" w:ascii="仿宋_GB2312" w:hAnsi="仿宋_GB2312" w:eastAsia="仿宋_GB2312" w:cs="仿宋_GB2312"/>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乙方（受托方）：</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pPr>
        <w:spacing w:line="440" w:lineRule="exact"/>
        <w:rPr>
          <w:rFonts w:hint="eastAsia" w:ascii="宋体" w:hAnsi="宋体" w:cs="宋体"/>
          <w:sz w:val="28"/>
          <w:szCs w:val="28"/>
        </w:rPr>
      </w:pPr>
      <w:r>
        <w:rPr>
          <w:rFonts w:hint="eastAsia" w:ascii="宋体" w:hAnsi="宋体" w:cs="宋体"/>
          <w:sz w:val="28"/>
          <w:szCs w:val="28"/>
        </w:rPr>
        <w:t xml:space="preserve"> </w:t>
      </w:r>
    </w:p>
    <w:p>
      <w:pPr>
        <w:pageBreakBefore w:val="0"/>
        <w:kinsoku/>
        <w:wordWrap/>
        <w:overflowPunct/>
        <w:topLinePunct w:val="0"/>
        <w:autoSpaceDE/>
        <w:autoSpaceDN/>
        <w:bidi w:val="0"/>
        <w:spacing w:line="520" w:lineRule="exact"/>
        <w:textAlignment w:val="auto"/>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一、合同事项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乙方接受甲方委托，从  年</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lang w:eastAsia="zh-CN"/>
        </w:rPr>
        <w:t>时</w:t>
      </w:r>
      <w:r>
        <w:rPr>
          <w:rFonts w:hint="eastAsia" w:ascii="仿宋_GB2312" w:hAnsi="仿宋_GB2312" w:eastAsia="仿宋_GB2312" w:cs="仿宋_GB2312"/>
          <w:color w:val="auto"/>
          <w:sz w:val="28"/>
          <w:szCs w:val="28"/>
          <w:highlight w:val="none"/>
        </w:rPr>
        <w:t>至 年月  日</w:t>
      </w:r>
      <w:r>
        <w:rPr>
          <w:rFonts w:hint="eastAsia" w:ascii="仿宋_GB2312" w:hAnsi="仿宋_GB2312" w:eastAsia="仿宋_GB2312" w:cs="仿宋_GB2312"/>
          <w:color w:val="auto"/>
          <w:sz w:val="28"/>
          <w:szCs w:val="28"/>
          <w:highlight w:val="none"/>
          <w:lang w:val="en-US" w:eastAsia="zh-CN"/>
        </w:rPr>
        <w:t>24时</w:t>
      </w:r>
      <w:r>
        <w:rPr>
          <w:rFonts w:hint="eastAsia"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lang w:eastAsia="zh-CN"/>
        </w:rPr>
        <w:t>四川能投广元燃气发电有限公司</w:t>
      </w:r>
      <w:r>
        <w:rPr>
          <w:rFonts w:hint="eastAsia" w:ascii="仿宋_GB2312" w:hAnsi="仿宋_GB2312" w:eastAsia="仿宋_GB2312" w:cs="仿宋_GB2312"/>
          <w:color w:val="auto"/>
          <w:sz w:val="28"/>
          <w:szCs w:val="28"/>
          <w:highlight w:val="none"/>
        </w:rPr>
        <w:t>员工进行</w:t>
      </w:r>
      <w:r>
        <w:rPr>
          <w:rFonts w:hint="eastAsia" w:ascii="仿宋_GB2312" w:hAnsi="仿宋_GB2312" w:eastAsia="仿宋_GB2312" w:cs="仿宋_GB2312"/>
          <w:color w:val="auto"/>
          <w:sz w:val="28"/>
          <w:szCs w:val="28"/>
          <w:highlight w:val="none"/>
          <w:lang w:eastAsia="zh-CN"/>
        </w:rPr>
        <w:t>补充医疗保险服务</w:t>
      </w:r>
      <w:r>
        <w:rPr>
          <w:rFonts w:hint="eastAsia" w:ascii="仿宋_GB2312" w:hAnsi="仿宋_GB2312" w:eastAsia="仿宋_GB2312" w:cs="仿宋_GB2312"/>
          <w:color w:val="auto"/>
          <w:sz w:val="28"/>
          <w:szCs w:val="28"/>
          <w:highlight w:val="none"/>
        </w:rPr>
        <w:t>。</w:t>
      </w:r>
    </w:p>
    <w:p>
      <w:pPr>
        <w:pageBreakBefore w:val="0"/>
        <w:kinsoku/>
        <w:wordWrap/>
        <w:overflowPunct/>
        <w:topLinePunct w:val="0"/>
        <w:autoSpaceDE/>
        <w:autoSpaceDN/>
        <w:bidi w:val="0"/>
        <w:spacing w:line="520" w:lineRule="exact"/>
        <w:textAlignment w:val="auto"/>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二、服务范围与服务目标</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乙方完成甲方在招标文件中约定的保险服务，具体服务内容、保险责任及描述、保险承诺、理赔服务、变更服务等内容，由甲方与乙方按照招标及投标文件内容、保险行业标准条款进行约定。</w:t>
      </w:r>
    </w:p>
    <w:p>
      <w:pPr>
        <w:pageBreakBefore w:val="0"/>
        <w:kinsoku/>
        <w:wordWrap/>
        <w:overflowPunct/>
        <w:topLinePunct w:val="0"/>
        <w:autoSpaceDE/>
        <w:autoSpaceDN/>
        <w:bidi w:val="0"/>
        <w:spacing w:line="520" w:lineRule="exact"/>
        <w:textAlignment w:val="auto"/>
        <w:rPr>
          <w:rFonts w:hint="eastAsia" w:ascii="宋体" w:hAnsi="宋体" w:cs="宋体"/>
          <w:sz w:val="28"/>
          <w:szCs w:val="28"/>
        </w:rPr>
      </w:pPr>
      <w:r>
        <w:rPr>
          <w:rFonts w:hint="eastAsia" w:ascii="宋体" w:hAnsi="宋体" w:cs="宋体"/>
          <w:b/>
          <w:sz w:val="28"/>
          <w:szCs w:val="28"/>
        </w:rPr>
        <w:t>三、</w:t>
      </w:r>
      <w:r>
        <w:rPr>
          <w:rFonts w:hint="eastAsia" w:ascii="Times New Roman" w:hAnsi="Times New Roman" w:eastAsia="黑体" w:cs="Times New Roman"/>
          <w:color w:val="auto"/>
          <w:sz w:val="28"/>
          <w:szCs w:val="28"/>
          <w:highlight w:val="none"/>
        </w:rPr>
        <w:t>甲方的责任与义务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1．甲方为乙方提供必要的工作条件和协助。</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2．甲方按本协议书的约定及时足额支付保险费用。</w:t>
      </w:r>
    </w:p>
    <w:p>
      <w:pPr>
        <w:pageBreakBefore w:val="0"/>
        <w:kinsoku/>
        <w:wordWrap/>
        <w:overflowPunct/>
        <w:topLinePunct w:val="0"/>
        <w:autoSpaceDE/>
        <w:autoSpaceDN/>
        <w:bidi w:val="0"/>
        <w:spacing w:line="520" w:lineRule="exact"/>
        <w:textAlignment w:val="auto"/>
        <w:rPr>
          <w:rFonts w:hint="eastAsia" w:ascii="Times New Roman" w:hAnsi="Times New Roman" w:eastAsia="黑体" w:cs="Times New Roman"/>
          <w:color w:val="auto"/>
          <w:sz w:val="28"/>
          <w:szCs w:val="28"/>
          <w:highlight w:val="none"/>
        </w:rPr>
      </w:pPr>
    </w:p>
    <w:p>
      <w:pPr>
        <w:pageBreakBefore w:val="0"/>
        <w:numPr>
          <w:ilvl w:val="0"/>
          <w:numId w:val="3"/>
        </w:numPr>
        <w:kinsoku/>
        <w:wordWrap/>
        <w:overflowPunct/>
        <w:topLinePunct w:val="0"/>
        <w:autoSpaceDE/>
        <w:autoSpaceDN/>
        <w:bidi w:val="0"/>
        <w:spacing w:line="520" w:lineRule="exact"/>
        <w:textAlignment w:val="auto"/>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保险保障内容及具体责任</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（一）补充医疗保险方案</w:t>
      </w:r>
    </w:p>
    <w:tbl>
      <w:tblPr>
        <w:tblStyle w:val="17"/>
        <w:tblW w:w="8427" w:type="dxa"/>
        <w:tblInd w:w="0" w:type="dxa"/>
        <w:tblLayout w:type="fixed"/>
        <w:tblCellMar>
          <w:top w:w="0" w:type="dxa"/>
          <w:left w:w="0" w:type="dxa"/>
          <w:bottom w:w="0" w:type="dxa"/>
          <w:right w:w="0" w:type="dxa"/>
        </w:tblCellMar>
      </w:tblPr>
      <w:tblGrid>
        <w:gridCol w:w="1776"/>
        <w:gridCol w:w="2191"/>
        <w:gridCol w:w="2208"/>
        <w:gridCol w:w="2252"/>
      </w:tblGrid>
      <w:tr>
        <w:tblPrEx>
          <w:tblCellMar>
            <w:top w:w="0" w:type="dxa"/>
            <w:left w:w="0" w:type="dxa"/>
            <w:bottom w:w="0" w:type="dxa"/>
            <w:right w:w="0" w:type="dxa"/>
          </w:tblCellMar>
        </w:tblPrEx>
        <w:trPr>
          <w:trHeight w:val="1020"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11" w:firstLineChars="100"/>
              <w:jc w:val="left"/>
              <w:textAlignment w:val="center"/>
              <w:rPr>
                <w:rFonts w:ascii="仿宋" w:hAnsi="仿宋" w:eastAsia="仿宋" w:cs="仿宋"/>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auto"/>
                <w:sz w:val="21"/>
                <w:szCs w:val="21"/>
                <w:highlight w:val="none"/>
              </w:rPr>
              <w:t>保险种类</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422" w:firstLineChars="200"/>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保额（高管</w:t>
            </w:r>
            <w:r>
              <w:rPr>
                <w:rFonts w:hint="eastAsia" w:ascii="仿宋_GB2312" w:hAnsi="仿宋_GB2312" w:eastAsia="仿宋_GB2312" w:cs="仿宋_GB2312"/>
                <w:b/>
                <w:bCs/>
                <w:color w:val="auto"/>
                <w:sz w:val="21"/>
                <w:szCs w:val="21"/>
                <w:highlight w:val="none"/>
                <w:lang w:val="en-US" w:eastAsia="zh-CN"/>
              </w:rPr>
              <w:t>3人</w:t>
            </w:r>
            <w:r>
              <w:rPr>
                <w:rFonts w:hint="eastAsia" w:ascii="仿宋_GB2312" w:hAnsi="仿宋_GB2312" w:eastAsia="仿宋_GB2312" w:cs="仿宋_GB2312"/>
                <w:b/>
                <w:bCs/>
                <w:color w:val="auto"/>
                <w:sz w:val="21"/>
                <w:szCs w:val="21"/>
                <w:highlight w:val="none"/>
              </w:rPr>
              <w:t>）</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2" w:firstLineChars="300"/>
              <w:jc w:val="both"/>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保额（中层</w:t>
            </w:r>
            <w:r>
              <w:rPr>
                <w:rFonts w:hint="eastAsia" w:ascii="仿宋_GB2312" w:hAnsi="仿宋_GB2312" w:eastAsia="仿宋_GB2312" w:cs="仿宋_GB2312"/>
                <w:b/>
                <w:bCs/>
                <w:color w:val="auto"/>
                <w:sz w:val="21"/>
                <w:szCs w:val="21"/>
                <w:highlight w:val="none"/>
                <w:lang w:val="en-US" w:eastAsia="zh-CN"/>
              </w:rPr>
              <w:t>8人</w:t>
            </w:r>
            <w:r>
              <w:rPr>
                <w:rFonts w:hint="eastAsia" w:ascii="仿宋_GB2312" w:hAnsi="仿宋_GB2312" w:eastAsia="仿宋_GB2312" w:cs="仿宋_GB2312"/>
                <w:b/>
                <w:bCs/>
                <w:color w:val="auto"/>
                <w:sz w:val="21"/>
                <w:szCs w:val="21"/>
                <w:highlight w:val="none"/>
              </w:rPr>
              <w:t>）</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422" w:firstLineChars="200"/>
              <w:jc w:val="both"/>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保额（员工</w:t>
            </w:r>
            <w:r>
              <w:rPr>
                <w:rFonts w:hint="eastAsia" w:ascii="仿宋_GB2312" w:hAnsi="仿宋_GB2312" w:eastAsia="仿宋_GB2312" w:cs="仿宋_GB2312"/>
                <w:b/>
                <w:bCs/>
                <w:color w:val="auto"/>
                <w:sz w:val="21"/>
                <w:szCs w:val="21"/>
                <w:highlight w:val="none"/>
                <w:lang w:val="en-US" w:eastAsia="zh-CN"/>
              </w:rPr>
              <w:t>17人</w:t>
            </w:r>
            <w:r>
              <w:rPr>
                <w:rFonts w:hint="eastAsia" w:ascii="仿宋_GB2312" w:hAnsi="仿宋_GB2312" w:eastAsia="仿宋_GB2312" w:cs="仿宋_GB2312"/>
                <w:b/>
                <w:bCs/>
                <w:color w:val="auto"/>
                <w:sz w:val="21"/>
                <w:szCs w:val="21"/>
                <w:highlight w:val="none"/>
              </w:rPr>
              <w:t>）</w:t>
            </w:r>
          </w:p>
        </w:tc>
      </w:tr>
      <w:tr>
        <w:tblPrEx>
          <w:tblCellMar>
            <w:top w:w="0" w:type="dxa"/>
            <w:left w:w="0" w:type="dxa"/>
            <w:bottom w:w="0" w:type="dxa"/>
            <w:right w:w="0" w:type="dxa"/>
          </w:tblCellMar>
        </w:tblPrEx>
        <w:trPr>
          <w:trHeight w:val="1447"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交通意外伤害保险</w:t>
            </w:r>
          </w:p>
        </w:tc>
        <w:tc>
          <w:tcPr>
            <w:tcW w:w="665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1、航空：100万</w:t>
            </w: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2、私家车：20万</w:t>
            </w: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3、轨道：40万/人</w:t>
            </w: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4、轮船：40万/人</w:t>
            </w: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5、公共汽车：20万/人</w:t>
            </w: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6、国家定义的网约车或出租车：20万/人</w:t>
            </w:r>
          </w:p>
        </w:tc>
      </w:tr>
      <w:tr>
        <w:tblPrEx>
          <w:tblCellMar>
            <w:top w:w="0" w:type="dxa"/>
            <w:left w:w="0" w:type="dxa"/>
            <w:bottom w:w="0" w:type="dxa"/>
            <w:right w:w="0" w:type="dxa"/>
          </w:tblCellMar>
        </w:tblPrEx>
        <w:trPr>
          <w:trHeight w:val="644"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重大疾病</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5万元</w:t>
            </w:r>
          </w:p>
        </w:tc>
      </w:tr>
      <w:tr>
        <w:tblPrEx>
          <w:tblCellMar>
            <w:top w:w="0" w:type="dxa"/>
            <w:left w:w="0" w:type="dxa"/>
            <w:bottom w:w="0" w:type="dxa"/>
            <w:right w:w="0" w:type="dxa"/>
          </w:tblCellMar>
        </w:tblPrEx>
        <w:trPr>
          <w:trHeight w:val="517"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定期寿险</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60万元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r>
      <w:tr>
        <w:tblPrEx>
          <w:tblCellMar>
            <w:top w:w="0" w:type="dxa"/>
            <w:left w:w="0" w:type="dxa"/>
            <w:bottom w:w="0" w:type="dxa"/>
            <w:right w:w="0" w:type="dxa"/>
          </w:tblCellMar>
        </w:tblPrEx>
        <w:trPr>
          <w:trHeight w:val="488"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意外身故</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r>
      <w:tr>
        <w:tblPrEx>
          <w:tblCellMar>
            <w:top w:w="0" w:type="dxa"/>
            <w:left w:w="0" w:type="dxa"/>
            <w:bottom w:w="0" w:type="dxa"/>
            <w:right w:w="0" w:type="dxa"/>
          </w:tblCellMar>
        </w:tblPrEx>
        <w:trPr>
          <w:trHeight w:val="530"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意外残疾</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30万元</w:t>
            </w:r>
          </w:p>
        </w:tc>
      </w:tr>
      <w:tr>
        <w:tblPrEx>
          <w:tblCellMar>
            <w:top w:w="0" w:type="dxa"/>
            <w:left w:w="0" w:type="dxa"/>
            <w:bottom w:w="0" w:type="dxa"/>
            <w:right w:w="0" w:type="dxa"/>
          </w:tblCellMar>
        </w:tblPrEx>
        <w:trPr>
          <w:trHeight w:val="702"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意外伤害医疗保险</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3万元</w:t>
            </w:r>
          </w:p>
        </w:tc>
      </w:tr>
      <w:tr>
        <w:tblPrEx>
          <w:tblCellMar>
            <w:top w:w="0" w:type="dxa"/>
            <w:left w:w="0" w:type="dxa"/>
            <w:bottom w:w="0" w:type="dxa"/>
            <w:right w:w="0" w:type="dxa"/>
          </w:tblCellMar>
        </w:tblPrEx>
        <w:trPr>
          <w:trHeight w:val="702"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门诊急诊医疗</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0.5万元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0.3万元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0.3万元</w:t>
            </w:r>
          </w:p>
        </w:tc>
      </w:tr>
      <w:tr>
        <w:tblPrEx>
          <w:tblCellMar>
            <w:top w:w="0" w:type="dxa"/>
            <w:left w:w="0" w:type="dxa"/>
            <w:bottom w:w="0" w:type="dxa"/>
            <w:right w:w="0" w:type="dxa"/>
          </w:tblCellMar>
        </w:tblPrEx>
        <w:trPr>
          <w:trHeight w:val="702"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疾病住院补充医疗保险</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10万元</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5万元</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5万元</w:t>
            </w:r>
          </w:p>
        </w:tc>
      </w:tr>
      <w:tr>
        <w:tblPrEx>
          <w:tblCellMar>
            <w:top w:w="0" w:type="dxa"/>
            <w:left w:w="0" w:type="dxa"/>
            <w:bottom w:w="0" w:type="dxa"/>
            <w:right w:w="0" w:type="dxa"/>
          </w:tblCellMar>
        </w:tblPrEx>
        <w:trPr>
          <w:trHeight w:val="702"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住院津贴（意外、疾病）</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200元/天</w:t>
            </w: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200元/天</w:t>
            </w: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100元/天</w:t>
            </w:r>
          </w:p>
        </w:tc>
      </w:tr>
      <w:tr>
        <w:tblPrEx>
          <w:tblCellMar>
            <w:top w:w="0" w:type="dxa"/>
            <w:left w:w="0" w:type="dxa"/>
            <w:bottom w:w="0" w:type="dxa"/>
            <w:right w:w="0" w:type="dxa"/>
          </w:tblCellMar>
        </w:tblPrEx>
        <w:trPr>
          <w:trHeight w:val="702" w:hRule="atLeast"/>
        </w:trPr>
        <w:tc>
          <w:tcPr>
            <w:tcW w:w="17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其他项目自行增加行数</w:t>
            </w:r>
          </w:p>
        </w:tc>
        <w:tc>
          <w:tcPr>
            <w:tcW w:w="2191"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p>
        </w:tc>
        <w:tc>
          <w:tcPr>
            <w:tcW w:w="2208"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p>
        </w:tc>
        <w:tc>
          <w:tcPr>
            <w:tcW w:w="225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ind w:firstLine="630" w:firstLineChars="300"/>
              <w:jc w:val="left"/>
              <w:textAlignment w:val="center"/>
              <w:rPr>
                <w:rFonts w:hint="eastAsia" w:ascii="仿宋_GB2312" w:hAnsi="仿宋_GB2312" w:eastAsia="仿宋_GB2312" w:cs="仿宋_GB2312"/>
                <w:color w:val="auto"/>
                <w:sz w:val="21"/>
                <w:szCs w:val="21"/>
                <w:highlight w:val="none"/>
              </w:rPr>
            </w:pPr>
          </w:p>
        </w:tc>
      </w:tr>
    </w:tbl>
    <w:p>
      <w:pPr>
        <w:spacing w:after="0" w:line="360" w:lineRule="auto"/>
        <w:ind w:firstLine="482" w:firstLineChars="200"/>
        <w:jc w:val="left"/>
        <w:rPr>
          <w:rFonts w:ascii="宋体" w:hAnsi="宋体"/>
          <w:sz w:val="24"/>
        </w:rPr>
      </w:pPr>
      <w:r>
        <w:rPr>
          <w:rFonts w:hint="eastAsia" w:ascii="宋体" w:hAnsi="宋体"/>
          <w:b/>
          <w:bCs/>
          <w:sz w:val="24"/>
        </w:rPr>
        <w:t>注：</w:t>
      </w:r>
      <w:r>
        <w:rPr>
          <w:rFonts w:ascii="宋体" w:hAnsi="宋体"/>
          <w:sz w:val="24"/>
        </w:rPr>
        <w:t>1.</w:t>
      </w:r>
      <w:r>
        <w:rPr>
          <w:rFonts w:hint="eastAsia" w:ascii="宋体" w:hAnsi="宋体"/>
          <w:sz w:val="24"/>
        </w:rPr>
        <w:t>上表所列报价包含完成招标人要求的员工商业医疗保险服务的所有费用（含税）。</w:t>
      </w:r>
    </w:p>
    <w:p>
      <w:pPr>
        <w:spacing w:after="0" w:line="360" w:lineRule="auto"/>
        <w:ind w:firstLine="960" w:firstLineChars="400"/>
        <w:jc w:val="left"/>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投标方案中，保险金额不得低于本保险方案规定，保险责任项目种类不得少于本方案规定。</w:t>
      </w:r>
    </w:p>
    <w:p>
      <w:pPr>
        <w:spacing w:after="0" w:line="360" w:lineRule="auto"/>
        <w:ind w:firstLine="960" w:firstLineChars="4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投标人可在本方案基础上增加赠送的保险保障范围、保险金额、保险责任项目。</w:t>
      </w:r>
    </w:p>
    <w:p>
      <w:pPr>
        <w:spacing w:after="0" w:line="360" w:lineRule="auto"/>
        <w:ind w:firstLine="960" w:firstLineChars="400"/>
        <w:jc w:val="left"/>
        <w:rPr>
          <w:rFonts w:ascii="宋体" w:hAnsi="宋体"/>
          <w:sz w:val="24"/>
        </w:rPr>
      </w:pPr>
      <w:r>
        <w:rPr>
          <w:rFonts w:ascii="宋体" w:hAnsi="宋体"/>
          <w:sz w:val="24"/>
        </w:rPr>
        <w:t>4.</w:t>
      </w:r>
      <w:r>
        <w:rPr>
          <w:rFonts w:hint="eastAsia" w:ascii="宋体" w:hAnsi="宋体"/>
          <w:sz w:val="24"/>
        </w:rPr>
        <w:t>疾病补充住院医疗的等待期为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天；疾病补充高额住院医疗的等待期为</w:t>
      </w:r>
      <w:r>
        <w:rPr>
          <w:rFonts w:hint="eastAsia" w:ascii="宋体" w:hAnsi="宋体"/>
          <w:sz w:val="24"/>
          <w:u w:val="single"/>
        </w:rPr>
        <w:t xml:space="preserve"> 0 </w:t>
      </w:r>
      <w:r>
        <w:rPr>
          <w:rFonts w:hint="eastAsia" w:ascii="宋体" w:hAnsi="宋体"/>
          <w:sz w:val="24"/>
        </w:rPr>
        <w:t>天；重大疾病保险等待期为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天</w:t>
      </w:r>
    </w:p>
    <w:p>
      <w:pPr>
        <w:spacing w:after="0" w:line="360" w:lineRule="auto"/>
        <w:ind w:firstLine="960" w:firstLineChars="400"/>
        <w:jc w:val="left"/>
        <w:rPr>
          <w:rFonts w:hint="eastAsia" w:ascii="宋体" w:hAnsi="宋体"/>
          <w:sz w:val="24"/>
        </w:rPr>
      </w:pPr>
      <w:r>
        <w:rPr>
          <w:rFonts w:hint="eastAsia" w:ascii="宋体" w:hAnsi="宋体"/>
          <w:sz w:val="24"/>
        </w:rPr>
        <w:t>“等待期”说明：自保险合同约定保险期间起始的当日起投保上述保险（即非首次投保本保险）的员工，其上述等待期均为</w:t>
      </w:r>
      <w:r>
        <w:rPr>
          <w:rFonts w:hint="eastAsia" w:ascii="宋体" w:hAnsi="宋体"/>
          <w:sz w:val="24"/>
          <w:u w:val="single"/>
          <w:lang w:val="en-US" w:eastAsia="zh-CN"/>
        </w:rPr>
        <w:t xml:space="preserve">    </w:t>
      </w:r>
      <w:r>
        <w:rPr>
          <w:rFonts w:hint="eastAsia" w:ascii="宋体" w:hAnsi="宋体"/>
          <w:sz w:val="24"/>
        </w:rPr>
        <w:t>天；自保险合同约定保险期间起始的次日起投保上述保险（即首次投保本保险）的员工，其上述等待期不超过3</w:t>
      </w:r>
      <w:r>
        <w:rPr>
          <w:rFonts w:ascii="宋体" w:hAnsi="宋体"/>
          <w:sz w:val="24"/>
        </w:rPr>
        <w:t>0</w:t>
      </w:r>
      <w:r>
        <w:rPr>
          <w:rFonts w:hint="eastAsia" w:ascii="宋体" w:hAnsi="宋体"/>
          <w:sz w:val="24"/>
        </w:rPr>
        <w:t>日（含第3</w:t>
      </w:r>
      <w:r>
        <w:rPr>
          <w:rFonts w:ascii="宋体" w:hAnsi="宋体"/>
          <w:sz w:val="24"/>
        </w:rPr>
        <w:t>0</w:t>
      </w:r>
      <w:r>
        <w:rPr>
          <w:rFonts w:hint="eastAsia" w:ascii="宋体" w:hAnsi="宋体"/>
          <w:sz w:val="24"/>
        </w:rPr>
        <w:t>日）。</w:t>
      </w:r>
    </w:p>
    <w:p>
      <w:pPr>
        <w:spacing w:after="0" w:line="360" w:lineRule="auto"/>
        <w:ind w:firstLine="960" w:firstLineChars="400"/>
        <w:jc w:val="left"/>
        <w:rPr>
          <w:rFonts w:ascii="宋体" w:hAnsi="宋体"/>
          <w:sz w:val="24"/>
        </w:rPr>
      </w:pPr>
    </w:p>
    <w:p>
      <w:pPr>
        <w:widowControl/>
        <w:ind w:firstLine="630" w:firstLineChars="300"/>
        <w:jc w:val="left"/>
        <w:textAlignment w:val="center"/>
        <w:rPr>
          <w:rFonts w:hint="eastAsia" w:ascii="仿宋_GB2312" w:hAnsi="仿宋_GB2312" w:eastAsia="仿宋_GB2312" w:cs="仿宋_GB2312"/>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（二）健康委托管理方案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251" w:type="dxa"/>
            <w:vAlign w:val="center"/>
          </w:tcPr>
          <w:p>
            <w:pPr>
              <w:widowControl/>
              <w:ind w:firstLine="630" w:firstLineChars="300"/>
              <w:jc w:val="both"/>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保险险种</w:t>
            </w:r>
          </w:p>
        </w:tc>
        <w:tc>
          <w:tcPr>
            <w:tcW w:w="2251" w:type="dxa"/>
            <w:vAlign w:val="center"/>
          </w:tcPr>
          <w:p>
            <w:pPr>
              <w:widowControl/>
              <w:ind w:firstLine="420" w:firstLineChars="20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保险金额</w:t>
            </w:r>
          </w:p>
        </w:tc>
        <w:tc>
          <w:tcPr>
            <w:tcW w:w="2251" w:type="dxa"/>
            <w:vAlign w:val="center"/>
          </w:tcPr>
          <w:p>
            <w:pPr>
              <w:widowControl/>
              <w:ind w:firstLine="630" w:firstLineChars="300"/>
              <w:jc w:val="both"/>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保障范围</w:t>
            </w:r>
          </w:p>
        </w:tc>
        <w:tc>
          <w:tcPr>
            <w:tcW w:w="2251" w:type="dxa"/>
            <w:vAlign w:val="center"/>
          </w:tcPr>
          <w:p>
            <w:pPr>
              <w:widowControl/>
              <w:ind w:firstLine="630" w:firstLineChars="300"/>
              <w:jc w:val="both"/>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1" w:type="dxa"/>
            <w:vAlign w:val="center"/>
          </w:tcPr>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员工团体补充医疗保险</w:t>
            </w:r>
          </w:p>
        </w:tc>
        <w:tc>
          <w:tcPr>
            <w:tcW w:w="2251" w:type="dxa"/>
            <w:vAlign w:val="center"/>
          </w:tcPr>
          <w:p>
            <w:pPr>
              <w:widowControl/>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17.08</w:t>
            </w:r>
            <w:r>
              <w:rPr>
                <w:rFonts w:hint="eastAsia" w:ascii="仿宋_GB2312" w:hAnsi="仿宋_GB2312" w:eastAsia="仿宋_GB2312" w:cs="仿宋_GB2312"/>
                <w:color w:val="auto"/>
                <w:sz w:val="21"/>
                <w:szCs w:val="21"/>
                <w:highlight w:val="none"/>
              </w:rPr>
              <w:t>万元</w:t>
            </w:r>
          </w:p>
        </w:tc>
        <w:tc>
          <w:tcPr>
            <w:tcW w:w="2251" w:type="dxa"/>
            <w:vAlign w:val="center"/>
          </w:tcPr>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员工团体补充医疗保险金额可用于：</w:t>
            </w:r>
          </w:p>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1、员工据实发生的门诊医疗费用的补充报销；</w:t>
            </w:r>
          </w:p>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2、员工住院医疗费用社保报销余额部分的补充报销；</w:t>
            </w:r>
          </w:p>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3、特殊疾病门诊的补充报销；</w:t>
            </w:r>
          </w:p>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4、还包括药店购药、医疗器械、口腔医疗和卫生、眼部卫生、康复治疗、中医理疗等项目的费用报销。</w:t>
            </w:r>
          </w:p>
        </w:tc>
        <w:tc>
          <w:tcPr>
            <w:tcW w:w="2251" w:type="dxa"/>
            <w:vAlign w:val="center"/>
          </w:tcPr>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1、管理费收取不超过5%；</w:t>
            </w:r>
          </w:p>
          <w:p>
            <w:pPr>
              <w:widowControl/>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2、额度及分配方案由采购人自行制定；</w:t>
            </w:r>
          </w:p>
          <w:p>
            <w:pPr>
              <w:widowControl/>
              <w:jc w:val="left"/>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3、报销比例为100%。</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lang w:eastAsia="zh-CN"/>
        </w:rPr>
      </w:pPr>
      <w:r>
        <w:rPr>
          <w:rFonts w:hint="eastAsia" w:ascii="Times New Roman" w:hAnsi="Times New Roman" w:eastAsia="黑体" w:cs="Times New Roman"/>
          <w:color w:val="auto"/>
          <w:sz w:val="28"/>
          <w:szCs w:val="28"/>
          <w:highlight w:val="none"/>
          <w:lang w:eastAsia="zh-CN"/>
        </w:rPr>
        <w:t>五、保险费收费及支付方式</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（一）本次服务的收费由双方协商确定：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本次</w:t>
      </w:r>
      <w:bookmarkStart w:id="234" w:name="最后浏览的位置"/>
      <w:r>
        <w:rPr>
          <w:rFonts w:hint="eastAsia" w:ascii="仿宋_GB2312" w:hAnsi="仿宋_GB2312" w:eastAsia="仿宋_GB2312" w:cs="仿宋_GB2312"/>
          <w:color w:val="auto"/>
          <w:sz w:val="28"/>
          <w:szCs w:val="28"/>
          <w:highlight w:val="none"/>
        </w:rPr>
        <w:t>保险服务费用</w:t>
      </w:r>
      <w:bookmarkEnd w:id="234"/>
      <w:r>
        <w:rPr>
          <w:rFonts w:hint="eastAsia" w:ascii="仿宋_GB2312" w:hAnsi="仿宋_GB2312" w:eastAsia="仿宋_GB2312" w:cs="仿宋_GB2312"/>
          <w:color w:val="auto"/>
          <w:sz w:val="28"/>
          <w:szCs w:val="28"/>
          <w:highlight w:val="none"/>
        </w:rPr>
        <w:t>包含完成全部服务内容所需的保险费、服务费、人工费、税费等全部费用，甲方不再另行支付其他任何费用。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（二）本次服务费用汇入以下账户：</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收款单位：</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开户银行：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银行帐户：</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lang w:eastAsia="zh-CN"/>
        </w:rPr>
      </w:pPr>
      <w:r>
        <w:rPr>
          <w:rFonts w:hint="eastAsia" w:ascii="Times New Roman" w:hAnsi="Times New Roman" w:eastAsia="黑体" w:cs="Times New Roman"/>
          <w:color w:val="auto"/>
          <w:sz w:val="28"/>
          <w:szCs w:val="28"/>
          <w:highlight w:val="none"/>
          <w:lang w:eastAsia="zh-CN"/>
        </w:rPr>
        <w:t>六、本合同协议书的有效期间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本合同协议书自</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日00:00起生效，服务期为  年（202</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年  月  日00:00至   年  月  日24:00）。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七、约定事项的变更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1.合同履行期间，若乙方能提供较合同协议书附件《保险服务清单》对应保险险种更优的服务产品，以甲乙双方协商签订的合同补充协议为准。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2.如果出现不可预见的情况，甲、乙方均可要求变更约定事项，但应及时通知对方，并由各方协商解决。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十、甲方解除保险合同的处理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甲方于保险合同成立后，可以要求解除保险合同。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甲方要求解除保险合同时，应提供下列证明和资料：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保险单；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（2）保险费收据复印件；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（3）解除合同申请书。</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甲方要求解除保险合同的，自乙方接到解除合同申请书之日起，保险责任终止。乙方于接到上述证明和资料之日起30日内扣除手续费后退还甲方未满期保险费。具体公式以保险条款为准。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对于已经发生理赔的被保险人，乙方无资金退还。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八</w:t>
      </w:r>
      <w:r>
        <w:rPr>
          <w:rFonts w:hint="eastAsia" w:ascii="Times New Roman" w:hAnsi="Times New Roman" w:eastAsia="黑体" w:cs="Times New Roman"/>
          <w:color w:val="auto"/>
          <w:sz w:val="28"/>
          <w:szCs w:val="28"/>
          <w:highlight w:val="none"/>
        </w:rPr>
        <w:t>、乙方提供的服务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1.乙方为甲方提供全方位的查询、咨询、理赔数据分析、投诉、挂失、理赔、报案等服务。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2.甲方及被保险人，可拨打联系人电话查询理赔情况和咨询相关保险业务。</w:t>
      </w:r>
    </w:p>
    <w:p>
      <w:pPr>
        <w:pStyle w:val="11"/>
        <w:spacing w:line="50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增加被保险人。甲方员工增加的保险费，按“年人均保费×（增加之日至合同到期日剩余的天数/365）×人数”计算。</w:t>
      </w:r>
    </w:p>
    <w:p>
      <w:pPr>
        <w:pStyle w:val="11"/>
        <w:spacing w:line="50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减少被保险人。甲方员工减少的保险费，按“年人均保费×（1-合同已履行天数/365）×人数”计算。</w:t>
      </w:r>
    </w:p>
    <w:p>
      <w:pPr>
        <w:pStyle w:val="11"/>
        <w:spacing w:line="50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收费结算。为了给甲方在每次办理人员变更时的交（退）费带来便利，乙方开通了保费定期结算功能，具体功能如下：</w:t>
      </w:r>
    </w:p>
    <w:p>
      <w:pPr>
        <w:pStyle w:val="11"/>
        <w:spacing w:line="50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甲方指定的经办人每月10日前向乙方提交申请办理人员增加、减少、替换等手续，手续办理时可先提供未用印的保全资料且不需要对应交保费和应退保费进行即时结算。当到达结算时间时，乙方对之前每月涉及的增加、减少手续的金额进行计算，采用多退少补的方式与甲方进行结算，同时甲方补充提供之前盖章版的保全资料；</w:t>
      </w:r>
    </w:p>
    <w:p>
      <w:pPr>
        <w:pStyle w:val="11"/>
        <w:spacing w:line="500" w:lineRule="exact"/>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2</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rPr>
        <w:t>保费定期结算时间：每</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个月为一个结算周期，每个结算周期后</w:t>
      </w:r>
      <w:r>
        <w:rPr>
          <w:rFonts w:hint="eastAsia" w:ascii="仿宋_GB2312" w:hAnsi="仿宋_GB2312" w:eastAsia="仿宋_GB2312" w:cs="仿宋_GB2312"/>
          <w:sz w:val="30"/>
          <w:szCs w:val="30"/>
          <w:highlight w:val="none"/>
          <w:u w:val="single"/>
          <w:lang w:val="en-US" w:eastAsia="zh-CN"/>
        </w:rPr>
        <w:t xml:space="preserve">    </w:t>
      </w:r>
      <w:r>
        <w:rPr>
          <w:rFonts w:hint="eastAsia" w:ascii="仿宋_GB2312" w:hAnsi="仿宋_GB2312" w:eastAsia="仿宋_GB2312" w:cs="仿宋_GB2312"/>
          <w:sz w:val="30"/>
          <w:szCs w:val="30"/>
          <w:highlight w:val="none"/>
        </w:rPr>
        <w:t>日内双方进行结算。</w:t>
      </w:r>
    </w:p>
    <w:p>
      <w:pPr>
        <w:pStyle w:val="11"/>
        <w:rPr>
          <w:rFonts w:hint="default" w:eastAsia="仿宋_GB231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乙方按照甲方的要求和总体安排，为甲方员工组织保险宣讲会。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乙方根据甲方的要求，向甲方提供理赔明细等相关报表服务，包括但不限于：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GB"/>
        </w:rPr>
      </w:pPr>
      <w:r>
        <w:rPr>
          <w:rFonts w:hint="eastAsia" w:ascii="仿宋_GB2312" w:hAnsi="仿宋_GB2312" w:eastAsia="仿宋_GB2312" w:cs="仿宋_GB2312"/>
          <w:color w:val="auto"/>
          <w:sz w:val="28"/>
          <w:szCs w:val="28"/>
          <w:highlight w:val="none"/>
          <w:lang w:val="en-GB"/>
        </w:rPr>
        <w:t>（1）</w:t>
      </w:r>
      <w:r>
        <w:rPr>
          <w:rFonts w:hint="eastAsia" w:ascii="仿宋_GB2312" w:hAnsi="仿宋_GB2312" w:eastAsia="仿宋_GB2312" w:cs="仿宋_GB2312"/>
          <w:color w:val="auto"/>
          <w:sz w:val="28"/>
          <w:szCs w:val="28"/>
          <w:highlight w:val="none"/>
        </w:rPr>
        <w:t>出险情况统计分析</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GB"/>
        </w:rPr>
      </w:pPr>
      <w:r>
        <w:rPr>
          <w:rFonts w:hint="eastAsia" w:ascii="仿宋_GB2312" w:hAnsi="仿宋_GB2312" w:eastAsia="仿宋_GB2312" w:cs="仿宋_GB2312"/>
          <w:color w:val="auto"/>
          <w:sz w:val="28"/>
          <w:szCs w:val="28"/>
          <w:highlight w:val="none"/>
        </w:rPr>
        <w:t>乙方将根据甲方的需要以书面形式和邮件形式向甲方发送保单分析报告，包括出险情况统计和改进建议等。</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（2）赔付情况统计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乙方将根据甲方的需要对其各类人员的赔付数据进行定期统计。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）客户年度报告</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乙方服务人员会随时上门为甲方提供理赔服务，收取理赔单据，并根据具体的需求状况，处理各项服务问题。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eastAsia="zh-CN"/>
        </w:rPr>
        <w:t>九</w:t>
      </w:r>
      <w:r>
        <w:rPr>
          <w:rFonts w:hint="eastAsia" w:ascii="Times New Roman" w:hAnsi="Times New Roman" w:eastAsia="黑体" w:cs="Times New Roman"/>
          <w:color w:val="auto"/>
          <w:sz w:val="28"/>
          <w:szCs w:val="28"/>
          <w:highlight w:val="none"/>
        </w:rPr>
        <w:t>、违约责任</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甲乙双方应秉承善意履行本协议规定的内容，如一方不履行或不全面履行时，应承担相应的违约责任。</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1、申请领取保险金的被保险人（身故者除外）与甲方投保时提供的被保险人不一致时，乙方有权拒绝赔付；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2、由于被保险人未按本协议要求提供相关理赔资料，乙方赔付的时间也以收齐资料时开始计算，但保险人未书面告知被保险人应提供的资料和协助调查的情况除外；</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十、适用法律和争议解决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合同协议书的所有方面均应适用中华人民共和国法律进行解释并受其约束。本合同协议书履行地为合同签订地，因本合同协议书所引起的或与本合同协议书有关的任何纠纷或争议（包括关于本合同协议书条款的存在、效力或终止，或无效之后果），双方选择以下第1种解决方式：</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1．向</w:t>
      </w:r>
      <w:r>
        <w:rPr>
          <w:rFonts w:hint="eastAsia" w:ascii="仿宋_GB2312" w:hAnsi="仿宋_GB2312" w:eastAsia="仿宋_GB2312" w:cs="仿宋_GB2312"/>
          <w:color w:val="auto"/>
          <w:sz w:val="28"/>
          <w:szCs w:val="28"/>
          <w:highlight w:val="none"/>
          <w:lang w:eastAsia="zh-CN"/>
        </w:rPr>
        <w:t>甲方所在</w:t>
      </w:r>
      <w:r>
        <w:rPr>
          <w:rFonts w:hint="eastAsia" w:ascii="仿宋_GB2312" w:hAnsi="仿宋_GB2312" w:eastAsia="仿宋_GB2312" w:cs="仿宋_GB2312"/>
          <w:color w:val="auto"/>
          <w:sz w:val="28"/>
          <w:szCs w:val="28"/>
          <w:highlight w:val="none"/>
        </w:rPr>
        <w:t>地有管辖权的人民法院提起诉讼；</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2．提交成都仲裁委员会仲裁。</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十</w:t>
      </w:r>
      <w:r>
        <w:rPr>
          <w:rFonts w:hint="eastAsia" w:ascii="Times New Roman" w:hAnsi="Times New Roman" w:eastAsia="黑体" w:cs="Times New Roman"/>
          <w:color w:val="auto"/>
          <w:sz w:val="28"/>
          <w:szCs w:val="28"/>
          <w:highlight w:val="none"/>
          <w:lang w:eastAsia="zh-CN"/>
        </w:rPr>
        <w:t>一</w:t>
      </w:r>
      <w:r>
        <w:rPr>
          <w:rFonts w:hint="eastAsia" w:ascii="Times New Roman" w:hAnsi="Times New Roman" w:eastAsia="黑体" w:cs="Times New Roman"/>
          <w:color w:val="auto"/>
          <w:sz w:val="28"/>
          <w:szCs w:val="28"/>
          <w:highlight w:val="none"/>
        </w:rPr>
        <w:t>、协议效力</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本协议一式肆份，甲乙双方各执贰份，经双方</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rPr>
        <w:t xml:space="preserve">盖章后正式成立，有效期与保险期间一致。 </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3"/>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十</w:t>
      </w:r>
      <w:r>
        <w:rPr>
          <w:rFonts w:hint="eastAsia" w:ascii="Times New Roman" w:hAnsi="Times New Roman" w:eastAsia="黑体" w:cs="Times New Roman"/>
          <w:color w:val="auto"/>
          <w:sz w:val="28"/>
          <w:szCs w:val="28"/>
          <w:highlight w:val="none"/>
          <w:lang w:eastAsia="zh-CN"/>
        </w:rPr>
        <w:t>二</w:t>
      </w:r>
      <w:r>
        <w:rPr>
          <w:rFonts w:hint="eastAsia" w:ascii="Times New Roman" w:hAnsi="Times New Roman" w:eastAsia="黑体" w:cs="Times New Roman"/>
          <w:color w:val="auto"/>
          <w:sz w:val="28"/>
          <w:szCs w:val="28"/>
          <w:highlight w:val="none"/>
        </w:rPr>
        <w:t>、附则</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1.本协议内容与保险单中所附条款内容不符部分，以本协议为准；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2.本协议未尽事宜，按本协议涉及的相关条款执行；其他未尽事宜，甲乙双方可以及时交换意见并补充、完善本协议。</w:t>
      </w:r>
    </w:p>
    <w:p>
      <w:pPr>
        <w:pStyle w:val="1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sz w:val="28"/>
          <w:szCs w:val="28"/>
          <w:highlight w:val="none"/>
          <w:lang w:eastAsia="zh-CN"/>
        </w:rPr>
      </w:pPr>
    </w:p>
    <w:p>
      <w:pPr>
        <w:pStyle w:val="26"/>
        <w:numPr>
          <w:ilvl w:val="4"/>
          <w:numId w:val="0"/>
        </w:num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甲方代表（签字）：</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乙方代表（签字）：</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ab/>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单位（盖章）：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单位（盖章）：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ab/>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宋体" w:hAnsi="宋体" w:cs="Times New Roman"/>
          <w:sz w:val="28"/>
          <w:szCs w:val="28"/>
          <w:highlight w:val="none"/>
        </w:rPr>
        <w:sectPr>
          <w:footerReference r:id="rId16" w:type="default"/>
          <w:pgSz w:w="11906" w:h="16838"/>
          <w:pgMar w:top="2098" w:right="1531" w:bottom="1984" w:left="1587" w:header="851" w:footer="992" w:gutter="0"/>
          <w:pgNumType w:fmt="decimal"/>
          <w:cols w:space="720" w:num="1"/>
          <w:rtlGutter w:val="0"/>
          <w:docGrid w:type="lines" w:linePitch="386" w:charSpace="0"/>
        </w:sect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r>
        <w:rPr>
          <w:rFonts w:hint="eastAsia" w:ascii="仿宋" w:hAnsi="仿宋" w:eastAsia="仿宋" w:cs="仿宋"/>
          <w:sz w:val="28"/>
          <w:szCs w:val="28"/>
          <w:highlight w:val="none"/>
        </w:rPr>
        <w:t xml:space="preserve"> </w:t>
      </w:r>
    </w:p>
    <w:p>
      <w:pPr>
        <w:pStyle w:val="16"/>
        <w:keepNext w:val="0"/>
        <w:keepLines w:val="0"/>
        <w:pageBreakBefore w:val="0"/>
        <w:kinsoku/>
        <w:wordWrap/>
        <w:overflowPunct/>
        <w:topLinePunct w:val="0"/>
        <w:autoSpaceDE/>
        <w:autoSpaceDN/>
        <w:bidi w:val="0"/>
        <w:spacing w:before="0" w:after="0" w:line="560" w:lineRule="exact"/>
        <w:ind w:firstLine="2520" w:firstLineChars="700"/>
        <w:jc w:val="both"/>
        <w:textAlignment w:val="auto"/>
        <w:outlineLvl w:val="0"/>
        <w:rPr>
          <w:rFonts w:hint="eastAsia" w:ascii="方正小标宋简体" w:hAnsi="方正小标宋简体" w:eastAsia="方正小标宋简体" w:cs="方正小标宋简体"/>
          <w:b w:val="0"/>
          <w:bCs w:val="0"/>
          <w:kern w:val="2"/>
          <w:sz w:val="36"/>
          <w:szCs w:val="36"/>
          <w:highlight w:val="none"/>
          <w:lang w:val="en-US" w:eastAsia="zh-CN" w:bidi="ar-SA"/>
        </w:rPr>
      </w:pPr>
      <w:bookmarkStart w:id="235" w:name="_Toc22968"/>
      <w:bookmarkStart w:id="236" w:name="_Toc30331"/>
      <w:r>
        <w:rPr>
          <w:rFonts w:hint="eastAsia" w:ascii="方正小标宋简体" w:hAnsi="方正小标宋简体" w:eastAsia="方正小标宋简体" w:cs="方正小标宋简体"/>
          <w:b w:val="0"/>
          <w:bCs w:val="0"/>
          <w:kern w:val="2"/>
          <w:sz w:val="36"/>
          <w:szCs w:val="36"/>
          <w:highlight w:val="none"/>
          <w:lang w:val="en-US" w:eastAsia="zh-CN" w:bidi="ar-SA"/>
        </w:rPr>
        <w:t>第五章  响应文件格式</w:t>
      </w:r>
      <w:bookmarkEnd w:id="227"/>
      <w:bookmarkEnd w:id="228"/>
      <w:bookmarkEnd w:id="235"/>
      <w:bookmarkEnd w:id="236"/>
    </w:p>
    <w:p>
      <w:pPr>
        <w:tabs>
          <w:tab w:val="left" w:pos="7665"/>
        </w:tabs>
        <w:spacing w:line="288" w:lineRule="auto"/>
        <w:ind w:firstLine="480"/>
        <w:outlineLvl w:val="9"/>
        <w:rPr>
          <w:rFonts w:ascii="宋体" w:hAnsi="宋体" w:cs="宋体"/>
          <w:bCs/>
          <w:sz w:val="28"/>
          <w:szCs w:val="28"/>
          <w:highlight w:val="none"/>
        </w:rPr>
      </w:pPr>
    </w:p>
    <w:p>
      <w:pPr>
        <w:spacing w:line="288" w:lineRule="auto"/>
        <w:jc w:val="center"/>
        <w:outlineLvl w:val="9"/>
        <w:rPr>
          <w:rFonts w:ascii="宋体" w:hAnsi="宋体" w:cs="宋体"/>
          <w:b/>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一、本章所制响应文件格式，除格式中明确将该格式作为实质性要求的，一律不具有强制性。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二、本章所制响应文件格式有关表格中的备注栏，由</w:t>
      </w:r>
      <w:r>
        <w:rPr>
          <w:rFonts w:hint="eastAsia" w:ascii="仿宋_GB2312" w:hAnsi="仿宋_GB2312" w:eastAsia="仿宋_GB2312" w:cs="仿宋_GB2312"/>
          <w:sz w:val="32"/>
          <w:szCs w:val="32"/>
          <w:highlight w:val="none"/>
          <w:lang w:eastAsia="zh-CN"/>
        </w:rPr>
        <w:t>响应人</w:t>
      </w:r>
      <w:r>
        <w:rPr>
          <w:rFonts w:hint="eastAsia" w:ascii="仿宋_GB2312" w:hAnsi="仿宋_GB2312" w:eastAsia="仿宋_GB2312" w:cs="仿宋_GB2312"/>
          <w:sz w:val="32"/>
          <w:szCs w:val="32"/>
          <w:highlight w:val="none"/>
        </w:rPr>
        <w:t>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三、本章所制响应文件格式中需要填写的相关内容事项，可能会与本采购项目无关，在不改变响应文件原义、不影响本项目采购需求的情况下，</w:t>
      </w:r>
      <w:r>
        <w:rPr>
          <w:rFonts w:hint="eastAsia" w:ascii="仿宋_GB2312" w:hAnsi="仿宋_GB2312" w:eastAsia="仿宋_GB2312" w:cs="仿宋_GB2312"/>
          <w:sz w:val="32"/>
          <w:szCs w:val="32"/>
          <w:highlight w:val="none"/>
          <w:lang w:eastAsia="zh-CN"/>
        </w:rPr>
        <w:t>响应人</w:t>
      </w:r>
      <w:r>
        <w:rPr>
          <w:rFonts w:hint="eastAsia" w:ascii="仿宋_GB2312" w:hAnsi="仿宋_GB2312" w:eastAsia="仿宋_GB2312" w:cs="仿宋_GB2312"/>
          <w:sz w:val="32"/>
          <w:szCs w:val="32"/>
          <w:highlight w:val="none"/>
        </w:rPr>
        <w:t>可以不予填写，但应当注明。</w:t>
      </w:r>
    </w:p>
    <w:p>
      <w:pPr>
        <w:spacing w:before="260" w:after="260" w:line="360" w:lineRule="auto"/>
        <w:jc w:val="both"/>
        <w:outlineLvl w:val="2"/>
        <w:rPr>
          <w:rFonts w:hint="eastAsia" w:ascii="仿宋" w:hAnsi="仿宋" w:eastAsia="宋体" w:cs="仿宋"/>
          <w:sz w:val="32"/>
          <w:szCs w:val="32"/>
          <w:highlight w:val="none"/>
          <w:lang w:val="en-US" w:eastAsia="zh-CN"/>
        </w:rPr>
      </w:pPr>
      <w:r>
        <w:rPr>
          <w:rFonts w:hint="eastAsia" w:ascii="宋体" w:hAnsi="宋体" w:cs="宋体"/>
          <w:sz w:val="28"/>
          <w:szCs w:val="28"/>
          <w:highlight w:val="none"/>
        </w:rPr>
        <w:br w:type="page"/>
      </w:r>
      <w:bookmarkStart w:id="237" w:name="_Toc1065"/>
      <w:bookmarkStart w:id="238" w:name="_Toc217446087"/>
      <w:r>
        <w:rPr>
          <w:rFonts w:hint="eastAsia" w:ascii="仿宋_GB2312" w:hAnsi="仿宋_GB2312" w:eastAsia="仿宋_GB2312" w:cs="仿宋_GB2312"/>
          <w:b/>
          <w:bCs/>
          <w:sz w:val="28"/>
          <w:szCs w:val="28"/>
          <w:highlight w:val="none"/>
          <w:lang w:val="en-US" w:eastAsia="zh-CN"/>
        </w:rPr>
        <w:t>封面</w:t>
      </w:r>
      <w:bookmarkEnd w:id="237"/>
    </w:p>
    <w:p>
      <w:pPr>
        <w:spacing w:line="360" w:lineRule="auto"/>
        <w:jc w:val="center"/>
        <w:outlineLvl w:val="0"/>
        <w:rPr>
          <w:rFonts w:hint="eastAsia" w:ascii="仿宋" w:hAnsi="仿宋" w:eastAsia="仿宋" w:cs="仿宋"/>
          <w:sz w:val="32"/>
          <w:szCs w:val="32"/>
          <w:highlight w:val="none"/>
        </w:rPr>
      </w:pPr>
      <w:r>
        <w:rPr>
          <w:rFonts w:hint="eastAsia" w:ascii="仿宋" w:hAnsi="仿宋" w:eastAsia="仿宋" w:cs="仿宋"/>
          <w:sz w:val="32"/>
          <w:szCs w:val="32"/>
          <w:highlight w:val="none"/>
          <w:u w:val="single"/>
        </w:rPr>
        <w:t xml:space="preserve">            </w:t>
      </w:r>
      <w:bookmarkStart w:id="239" w:name="_Toc15908"/>
      <w:r>
        <w:rPr>
          <w:rFonts w:hint="eastAsia" w:ascii="仿宋" w:hAnsi="仿宋" w:eastAsia="仿宋" w:cs="仿宋"/>
          <w:sz w:val="32"/>
          <w:szCs w:val="32"/>
          <w:highlight w:val="none"/>
        </w:rPr>
        <w:t>（项目名称）</w:t>
      </w:r>
      <w:bookmarkEnd w:id="239"/>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谈</w:t>
      </w: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判</w:t>
      </w: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响</w:t>
      </w: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应</w:t>
      </w: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文</w:t>
      </w:r>
    </w:p>
    <w:p>
      <w:pPr>
        <w:spacing w:line="360"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件</w:t>
      </w: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rPr>
          <w:rFonts w:hint="eastAsia" w:ascii="仿宋" w:hAnsi="仿宋" w:eastAsia="仿宋" w:cs="仿宋"/>
          <w:sz w:val="32"/>
          <w:szCs w:val="32"/>
          <w:highlight w:val="none"/>
        </w:rPr>
      </w:pPr>
    </w:p>
    <w:p>
      <w:pPr>
        <w:spacing w:line="360" w:lineRule="auto"/>
        <w:ind w:firstLine="320" w:firstLineChars="1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响应人：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（盖单位章）</w:t>
      </w:r>
    </w:p>
    <w:p>
      <w:pPr>
        <w:spacing w:line="360" w:lineRule="auto"/>
        <w:ind w:firstLine="320" w:firstLineChars="100"/>
        <w:rPr>
          <w:rFonts w:hint="eastAsia" w:ascii="仿宋" w:hAnsi="仿宋" w:eastAsia="仿宋" w:cs="仿宋"/>
          <w:sz w:val="32"/>
          <w:szCs w:val="32"/>
          <w:highlight w:val="none"/>
        </w:rPr>
      </w:pPr>
      <w:r>
        <w:rPr>
          <w:rFonts w:hint="eastAsia" w:ascii="仿宋" w:hAnsi="仿宋" w:eastAsia="仿宋" w:cs="仿宋"/>
          <w:sz w:val="32"/>
          <w:szCs w:val="32"/>
          <w:highlight w:val="none"/>
        </w:rPr>
        <w:t>法定代表人或其授权委托代理人：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（签字）</w:t>
      </w:r>
    </w:p>
    <w:p>
      <w:pPr>
        <w:spacing w:line="360" w:lineRule="auto"/>
        <w:jc w:val="center"/>
        <w:rPr>
          <w:rFonts w:hint="eastAsia" w:ascii="仿宋" w:hAnsi="仿宋" w:eastAsia="仿宋" w:cs="仿宋"/>
          <w:sz w:val="32"/>
          <w:szCs w:val="32"/>
          <w:highlight w:val="none"/>
        </w:rPr>
      </w:pPr>
    </w:p>
    <w:p>
      <w:pPr>
        <w:spacing w:line="360" w:lineRule="auto"/>
        <w:jc w:val="center"/>
        <w:outlineLvl w:val="0"/>
        <w:rPr>
          <w:rFonts w:hint="eastAsia" w:ascii="仿宋" w:hAnsi="仿宋" w:eastAsia="仿宋" w:cs="仿宋"/>
          <w:sz w:val="32"/>
          <w:szCs w:val="32"/>
          <w:highlight w:val="none"/>
        </w:rPr>
      </w:pPr>
      <w:bookmarkStart w:id="240" w:name="_Toc22234"/>
      <w:r>
        <w:rPr>
          <w:rFonts w:hint="eastAsia" w:ascii="仿宋" w:hAnsi="仿宋" w:eastAsia="仿宋" w:cs="仿宋"/>
          <w:sz w:val="32"/>
          <w:szCs w:val="32"/>
          <w:highlight w:val="none"/>
        </w:rPr>
        <w:t>日期：</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年</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日</w:t>
      </w:r>
      <w:bookmarkEnd w:id="240"/>
    </w:p>
    <w:p>
      <w:pPr>
        <w:widowControl/>
        <w:spacing w:line="360" w:lineRule="auto"/>
        <w:jc w:val="left"/>
        <w:rPr>
          <w:rFonts w:hint="eastAsia" w:ascii="仿宋" w:hAnsi="仿宋" w:eastAsia="仿宋" w:cs="仿宋"/>
          <w:kern w:val="0"/>
          <w:sz w:val="32"/>
          <w:szCs w:val="32"/>
          <w:highlight w:val="none"/>
        </w:rPr>
      </w:pPr>
    </w:p>
    <w:p>
      <w:pPr>
        <w:widowControl/>
        <w:spacing w:line="360" w:lineRule="auto"/>
        <w:jc w:val="left"/>
        <w:rPr>
          <w:rFonts w:hint="eastAsia" w:ascii="仿宋" w:hAnsi="仿宋" w:eastAsia="仿宋" w:cs="仿宋"/>
          <w:kern w:val="0"/>
          <w:sz w:val="32"/>
          <w:szCs w:val="32"/>
          <w:highlight w:val="none"/>
        </w:rPr>
      </w:pPr>
    </w:p>
    <w:p>
      <w:pPr>
        <w:pStyle w:val="25"/>
        <w:spacing w:line="360" w:lineRule="auto"/>
        <w:jc w:val="center"/>
        <w:outlineLvl w:val="2"/>
        <w:rPr>
          <w:rFonts w:hint="eastAsia" w:ascii="仿宋_GB2312" w:hAnsi="仿宋_GB2312" w:eastAsia="仿宋_GB2312" w:cs="仿宋_GB2312"/>
          <w:b/>
          <w:sz w:val="32"/>
          <w:szCs w:val="32"/>
          <w:highlight w:val="none"/>
        </w:rPr>
      </w:pPr>
      <w:bookmarkStart w:id="241" w:name="_Toc22578"/>
      <w:r>
        <w:rPr>
          <w:rFonts w:hint="eastAsia" w:ascii="仿宋_GB2312" w:hAnsi="仿宋_GB2312" w:eastAsia="仿宋_GB2312" w:cs="仿宋_GB2312"/>
          <w:b/>
          <w:sz w:val="32"/>
          <w:szCs w:val="32"/>
          <w:highlight w:val="none"/>
        </w:rPr>
        <w:t>目录</w:t>
      </w:r>
      <w:bookmarkEnd w:id="241"/>
    </w:p>
    <w:p>
      <w:pPr>
        <w:spacing w:line="360" w:lineRule="auto"/>
        <w:rPr>
          <w:rFonts w:hint="eastAsia" w:ascii="仿宋" w:hAnsi="仿宋" w:eastAsia="仿宋" w:cs="仿宋"/>
          <w:sz w:val="32"/>
          <w:szCs w:val="32"/>
          <w:highlight w:val="none"/>
        </w:rPr>
      </w:pPr>
    </w:p>
    <w:p>
      <w:pPr>
        <w:spacing w:line="360" w:lineRule="auto"/>
        <w:outlineLvl w:val="0"/>
        <w:rPr>
          <w:rFonts w:hint="eastAsia" w:ascii="仿宋" w:hAnsi="仿宋" w:eastAsia="仿宋" w:cs="仿宋"/>
          <w:sz w:val="32"/>
          <w:szCs w:val="32"/>
          <w:highlight w:val="none"/>
        </w:rPr>
      </w:pPr>
      <w:bookmarkStart w:id="242" w:name="_Toc21623"/>
      <w:r>
        <w:rPr>
          <w:rFonts w:hint="eastAsia" w:ascii="仿宋" w:hAnsi="仿宋" w:eastAsia="仿宋" w:cs="仿宋"/>
          <w:sz w:val="32"/>
          <w:szCs w:val="32"/>
          <w:highlight w:val="none"/>
        </w:rPr>
        <w:t>一、谈判响应函……………………………………………（）</w:t>
      </w:r>
      <w:bookmarkEnd w:id="242"/>
    </w:p>
    <w:p>
      <w:pPr>
        <w:spacing w:line="360" w:lineRule="auto"/>
        <w:outlineLvl w:val="0"/>
        <w:rPr>
          <w:rFonts w:hint="eastAsia" w:ascii="仿宋" w:hAnsi="仿宋" w:eastAsia="仿宋" w:cs="仿宋"/>
          <w:sz w:val="32"/>
          <w:szCs w:val="32"/>
          <w:highlight w:val="none"/>
        </w:rPr>
      </w:pPr>
      <w:bookmarkStart w:id="243" w:name="_Toc30546"/>
      <w:r>
        <w:rPr>
          <w:rFonts w:hint="eastAsia" w:ascii="仿宋" w:hAnsi="仿宋" w:eastAsia="仿宋" w:cs="仿宋"/>
          <w:sz w:val="32"/>
          <w:szCs w:val="32"/>
          <w:highlight w:val="none"/>
        </w:rPr>
        <w:t>二、法定代表人证明书……………………………………（）</w:t>
      </w:r>
      <w:bookmarkEnd w:id="243"/>
    </w:p>
    <w:p>
      <w:pPr>
        <w:spacing w:line="360" w:lineRule="auto"/>
        <w:outlineLvl w:val="0"/>
        <w:rPr>
          <w:rFonts w:hint="eastAsia" w:ascii="仿宋" w:hAnsi="仿宋" w:eastAsia="仿宋" w:cs="仿宋"/>
          <w:sz w:val="32"/>
          <w:szCs w:val="32"/>
          <w:highlight w:val="none"/>
        </w:rPr>
      </w:pPr>
      <w:bookmarkStart w:id="244" w:name="_Toc8928"/>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、法定代表人授权委托书………………………………（）</w:t>
      </w:r>
      <w:bookmarkEnd w:id="244"/>
    </w:p>
    <w:p>
      <w:pPr>
        <w:spacing w:line="360" w:lineRule="auto"/>
        <w:outlineLvl w:val="0"/>
        <w:rPr>
          <w:rFonts w:hint="eastAsia" w:ascii="仿宋" w:hAnsi="仿宋" w:eastAsia="仿宋" w:cs="仿宋"/>
          <w:sz w:val="32"/>
          <w:szCs w:val="32"/>
          <w:highlight w:val="none"/>
        </w:rPr>
      </w:pPr>
      <w:bookmarkStart w:id="245" w:name="_Toc28231"/>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、响应人基本情况表……………………………………（）</w:t>
      </w:r>
      <w:bookmarkEnd w:id="245"/>
    </w:p>
    <w:p>
      <w:pPr>
        <w:spacing w:line="360" w:lineRule="auto"/>
        <w:outlineLvl w:val="0"/>
        <w:rPr>
          <w:rFonts w:hint="eastAsia" w:ascii="仿宋" w:hAnsi="仿宋" w:eastAsia="仿宋" w:cs="仿宋"/>
          <w:sz w:val="32"/>
          <w:szCs w:val="32"/>
          <w:highlight w:val="none"/>
        </w:rPr>
      </w:pPr>
      <w:bookmarkStart w:id="246" w:name="_Toc17039"/>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、近年完成的类似项目情况表…………………………（）</w:t>
      </w:r>
      <w:bookmarkEnd w:id="246"/>
    </w:p>
    <w:p>
      <w:pPr>
        <w:spacing w:line="360" w:lineRule="auto"/>
        <w:outlineLvl w:val="0"/>
        <w:rPr>
          <w:rFonts w:hint="eastAsia" w:ascii="仿宋" w:hAnsi="仿宋" w:eastAsia="仿宋" w:cs="仿宋"/>
          <w:sz w:val="32"/>
          <w:szCs w:val="32"/>
          <w:highlight w:val="none"/>
        </w:rPr>
      </w:pPr>
      <w:bookmarkStart w:id="247" w:name="_Toc44"/>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、承诺函…………………………………………………（）</w:t>
      </w:r>
      <w:bookmarkEnd w:id="247"/>
    </w:p>
    <w:p>
      <w:pPr>
        <w:spacing w:line="360" w:lineRule="auto"/>
        <w:outlineLvl w:val="0"/>
        <w:rPr>
          <w:rFonts w:hint="eastAsia" w:ascii="仿宋" w:hAnsi="仿宋" w:eastAsia="仿宋" w:cs="仿宋"/>
          <w:sz w:val="32"/>
          <w:szCs w:val="32"/>
          <w:highlight w:val="none"/>
        </w:rPr>
      </w:pPr>
      <w:bookmarkStart w:id="248" w:name="_Toc15913"/>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、其他内容………………………………………………（）</w:t>
      </w:r>
      <w:bookmarkEnd w:id="248"/>
    </w:p>
    <w:p>
      <w:pPr>
        <w:spacing w:line="360" w:lineRule="auto"/>
        <w:outlineLvl w:val="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二次报价</w:t>
      </w:r>
      <w:r>
        <w:rPr>
          <w:rFonts w:hint="eastAsia" w:ascii="仿宋" w:hAnsi="仿宋" w:eastAsia="仿宋" w:cs="仿宋"/>
          <w:sz w:val="32"/>
          <w:szCs w:val="32"/>
          <w:highlight w:val="none"/>
        </w:rPr>
        <w:t>………………………………………………（）</w:t>
      </w:r>
    </w:p>
    <w:p>
      <w:pPr>
        <w:spacing w:line="360" w:lineRule="auto"/>
        <w:rPr>
          <w:rFonts w:hint="eastAsia" w:ascii="仿宋" w:hAnsi="仿宋" w:eastAsia="仿宋" w:cs="仿宋"/>
          <w:sz w:val="32"/>
          <w:szCs w:val="32"/>
          <w:highlight w:val="none"/>
        </w:rPr>
      </w:pPr>
    </w:p>
    <w:p>
      <w:pPr>
        <w:spacing w:line="360" w:lineRule="auto"/>
        <w:jc w:val="center"/>
        <w:outlineLvl w:val="9"/>
        <w:rPr>
          <w:rFonts w:hint="eastAsia" w:ascii="仿宋" w:hAnsi="仿宋" w:eastAsia="仿宋" w:cs="仿宋"/>
          <w:sz w:val="32"/>
          <w:szCs w:val="32"/>
          <w:highlight w:val="none"/>
        </w:rPr>
      </w:pPr>
    </w:p>
    <w:p>
      <w:pPr>
        <w:pStyle w:val="6"/>
        <w:outlineLvl w:val="9"/>
        <w:rPr>
          <w:rFonts w:hint="eastAsia"/>
          <w:highlight w:val="none"/>
        </w:rPr>
      </w:pPr>
    </w:p>
    <w:p>
      <w:pPr>
        <w:spacing w:line="360" w:lineRule="auto"/>
        <w:jc w:val="center"/>
        <w:outlineLvl w:val="9"/>
        <w:rPr>
          <w:rFonts w:hint="eastAsia" w:ascii="仿宋" w:hAnsi="仿宋" w:eastAsia="仿宋" w:cs="仿宋"/>
          <w:sz w:val="32"/>
          <w:szCs w:val="32"/>
          <w:highlight w:val="none"/>
        </w:rPr>
      </w:pPr>
    </w:p>
    <w:p>
      <w:pPr>
        <w:pStyle w:val="6"/>
        <w:spacing w:line="360" w:lineRule="auto"/>
        <w:ind w:firstLine="0"/>
        <w:outlineLvl w:val="9"/>
        <w:rPr>
          <w:rFonts w:hint="eastAsia" w:ascii="仿宋" w:hAnsi="仿宋" w:eastAsia="仿宋" w:cs="仿宋"/>
          <w:sz w:val="32"/>
          <w:szCs w:val="32"/>
          <w:highlight w:val="none"/>
        </w:rPr>
      </w:pPr>
    </w:p>
    <w:p>
      <w:pPr>
        <w:pStyle w:val="6"/>
        <w:spacing w:line="360" w:lineRule="auto"/>
        <w:ind w:firstLine="0"/>
        <w:outlineLvl w:val="9"/>
        <w:rPr>
          <w:rFonts w:hint="eastAsia" w:ascii="仿宋" w:hAnsi="仿宋" w:eastAsia="仿宋" w:cs="仿宋"/>
          <w:sz w:val="32"/>
          <w:szCs w:val="32"/>
          <w:highlight w:val="none"/>
        </w:rPr>
      </w:pPr>
    </w:p>
    <w:p>
      <w:pPr>
        <w:pStyle w:val="6"/>
        <w:spacing w:line="360" w:lineRule="auto"/>
        <w:ind w:firstLine="0"/>
        <w:outlineLvl w:val="9"/>
        <w:rPr>
          <w:rFonts w:hint="eastAsia" w:ascii="仿宋" w:hAnsi="仿宋" w:eastAsia="仿宋" w:cs="仿宋"/>
          <w:sz w:val="32"/>
          <w:szCs w:val="32"/>
          <w:highlight w:val="none"/>
        </w:rPr>
      </w:pPr>
    </w:p>
    <w:p>
      <w:pPr>
        <w:pStyle w:val="5"/>
        <w:spacing w:line="360" w:lineRule="auto"/>
        <w:jc w:val="center"/>
        <w:outlineLvl w:val="0"/>
        <w:rPr>
          <w:rFonts w:hint="eastAsia" w:ascii="黑体" w:hAnsi="黑体" w:eastAsia="黑体" w:cs="黑体"/>
          <w:b w:val="0"/>
          <w:bCs w:val="0"/>
          <w:sz w:val="28"/>
          <w:szCs w:val="28"/>
          <w:highlight w:val="none"/>
        </w:rPr>
      </w:pPr>
      <w:r>
        <w:rPr>
          <w:rFonts w:hint="eastAsia" w:ascii="仿宋" w:hAnsi="仿宋" w:eastAsia="仿宋" w:cs="仿宋"/>
          <w:sz w:val="32"/>
          <w:szCs w:val="32"/>
          <w:highlight w:val="none"/>
        </w:rPr>
        <w:br w:type="page"/>
      </w:r>
      <w:bookmarkStart w:id="249" w:name="_Toc27939"/>
      <w:bookmarkStart w:id="250" w:name="_Toc7501"/>
      <w:r>
        <w:rPr>
          <w:rFonts w:hint="eastAsia" w:ascii="黑体" w:hAnsi="黑体" w:eastAsia="黑体" w:cs="黑体"/>
          <w:b w:val="0"/>
          <w:bCs w:val="0"/>
          <w:sz w:val="28"/>
          <w:szCs w:val="28"/>
          <w:highlight w:val="none"/>
        </w:rPr>
        <w:t>一、谈判响应函</w:t>
      </w:r>
      <w:bookmarkEnd w:id="249"/>
      <w:bookmarkEnd w:id="250"/>
    </w:p>
    <w:p>
      <w:pPr>
        <w:pStyle w:val="12"/>
        <w:spacing w:line="360" w:lineRule="auto"/>
        <w:ind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(采购人名称)：</w:t>
      </w:r>
    </w:p>
    <w:p>
      <w:pPr>
        <w:pStyle w:val="12"/>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一、我方全面研究了 </w:t>
      </w:r>
      <w:r>
        <w:rPr>
          <w:rFonts w:hint="eastAsia" w:ascii="仿宋_GB2312" w:hAnsi="仿宋_GB2312" w:eastAsia="仿宋_GB2312" w:cs="仿宋_GB2312"/>
          <w:sz w:val="28"/>
          <w:szCs w:val="28"/>
          <w:highlight w:val="none"/>
          <w:u w:val="single"/>
        </w:rPr>
        <w:t xml:space="preserve">             （项目名称） </w:t>
      </w:r>
      <w:r>
        <w:rPr>
          <w:rFonts w:hint="eastAsia" w:ascii="仿宋_GB2312" w:hAnsi="仿宋_GB2312" w:eastAsia="仿宋_GB2312" w:cs="仿宋_GB2312"/>
          <w:sz w:val="28"/>
          <w:szCs w:val="28"/>
          <w:highlight w:val="none"/>
        </w:rPr>
        <w:t>项目竞争性谈判文件，决定参加采购人组织的本项目谈判。我方授权</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(姓名、职务)代表我方</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(响应人名称)全权处理本项目谈判的有关事宜。</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二、我方自愿按照竞争性谈判文件规定的各项要求完成本项目全部工作，报价为人民币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三、一旦我方成交，我方将严格履行合同规定的责任和义务，</w:t>
      </w:r>
      <w:r>
        <w:rPr>
          <w:rFonts w:hint="eastAsia" w:ascii="仿宋_GB2312" w:hAnsi="仿宋_GB2312" w:eastAsia="仿宋_GB2312" w:cs="仿宋_GB2312"/>
          <w:sz w:val="28"/>
          <w:szCs w:val="28"/>
          <w:highlight w:val="none"/>
          <w:lang w:val="en-US" w:eastAsia="zh-CN"/>
        </w:rPr>
        <w:t>提交成果文件时间</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四、我方为本项目提交的响应文件正本1份，副本1份，电子文档U盘1份。</w:t>
      </w:r>
    </w:p>
    <w:p>
      <w:pPr>
        <w:pStyle w:val="12"/>
        <w:spacing w:line="360" w:lineRule="auto"/>
        <w:ind w:firstLine="560" w:firstLineChars="200"/>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五、我方承诺，谈判有效期为谈判截止时间后</w:t>
      </w:r>
      <w:r>
        <w:rPr>
          <w:rFonts w:hint="eastAsia" w:ascii="仿宋_GB2312" w:hAnsi="仿宋_GB2312" w:eastAsia="仿宋_GB2312" w:cs="仿宋_GB2312"/>
          <w:sz w:val="28"/>
          <w:szCs w:val="28"/>
          <w:highlight w:val="none"/>
          <w:u w:val="single"/>
          <w:lang w:val="en-US" w:eastAsia="zh-CN"/>
        </w:rPr>
        <w:t>3</w:t>
      </w:r>
      <w:r>
        <w:rPr>
          <w:rFonts w:hint="eastAsia" w:ascii="仿宋_GB2312" w:hAnsi="仿宋_GB2312" w:eastAsia="仿宋_GB2312" w:cs="仿宋_GB2312"/>
          <w:sz w:val="28"/>
          <w:szCs w:val="28"/>
          <w:highlight w:val="none"/>
          <w:u w:val="single"/>
        </w:rPr>
        <w:t>0</w:t>
      </w:r>
      <w:r>
        <w:rPr>
          <w:rFonts w:hint="eastAsia" w:ascii="仿宋_GB2312" w:hAnsi="仿宋_GB2312" w:eastAsia="仿宋_GB2312" w:cs="仿宋_GB2312"/>
          <w:sz w:val="28"/>
          <w:szCs w:val="28"/>
          <w:highlight w:val="none"/>
        </w:rPr>
        <w:t>个日历天内。</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六、我方愿意提供采购人可能另外要求的，与谈判有关的文件资料，并保证我方已提供和将要提供的文件资料是真实、准确的。</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七、我方知道并同意：如果接到成交通知书后未按采购人要求的时间签订正式合同或坚持提出附加条件，采购人有权选择其他响应人为成交人。</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八、我方知道并同意，采购人并无义务必须接受所收到的价格最低的或其他任何响应文件。同时也理解，采购人不负担响应人任何参与谈判的费用。</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九、我方郑重承诺：按采购人要求做好后期服务。</w:t>
      </w:r>
    </w:p>
    <w:p>
      <w:pPr>
        <w:pStyle w:val="12"/>
        <w:spacing w:line="360" w:lineRule="auto"/>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十、我方承诺完全响应并满足谈判须知27条各项要求。</w:t>
      </w:r>
    </w:p>
    <w:p>
      <w:pPr>
        <w:pStyle w:val="12"/>
        <w:spacing w:line="360" w:lineRule="auto"/>
        <w:ind w:firstLine="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(盖章)</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(签字)   </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邮政编码：</w:t>
      </w:r>
      <w:r>
        <w:rPr>
          <w:rFonts w:hint="eastAsia" w:ascii="仿宋_GB2312" w:hAnsi="仿宋_GB2312" w:eastAsia="仿宋_GB2312" w:cs="仿宋_GB2312"/>
          <w:sz w:val="28"/>
          <w:szCs w:val="28"/>
          <w:highlight w:val="none"/>
          <w:u w:val="single"/>
        </w:rPr>
        <w:t xml:space="preserve">                              </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w:t>
      </w:r>
      <w:r>
        <w:rPr>
          <w:rFonts w:hint="eastAsia" w:ascii="仿宋_GB2312" w:hAnsi="仿宋_GB2312" w:eastAsia="仿宋_GB2312" w:cs="仿宋_GB2312"/>
          <w:sz w:val="28"/>
          <w:szCs w:val="28"/>
          <w:highlight w:val="none"/>
          <w:u w:val="single"/>
        </w:rPr>
        <w:t xml:space="preserve">                              </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传    真：</w:t>
      </w:r>
      <w:r>
        <w:rPr>
          <w:rFonts w:hint="eastAsia" w:ascii="仿宋_GB2312" w:hAnsi="仿宋_GB2312" w:eastAsia="仿宋_GB2312" w:cs="仿宋_GB2312"/>
          <w:sz w:val="28"/>
          <w:szCs w:val="28"/>
          <w:highlight w:val="none"/>
          <w:u w:val="single"/>
        </w:rPr>
        <w:t xml:space="preserve">                              </w:t>
      </w:r>
    </w:p>
    <w:p>
      <w:pPr>
        <w:pStyle w:val="12"/>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12"/>
        <w:spacing w:line="360" w:lineRule="auto"/>
        <w:ind w:firstLine="560" w:firstLineChars="200"/>
        <w:rPr>
          <w:rFonts w:hint="eastAsia" w:ascii="仿宋_GB2312" w:hAnsi="仿宋_GB2312" w:eastAsia="仿宋_GB2312" w:cs="仿宋_GB2312"/>
          <w:sz w:val="28"/>
          <w:szCs w:val="28"/>
          <w:highlight w:val="none"/>
        </w:rPr>
      </w:pPr>
    </w:p>
    <w:p>
      <w:pPr>
        <w:pStyle w:val="5"/>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highlight w:val="none"/>
        </w:rPr>
      </w:pPr>
      <w:bookmarkStart w:id="251" w:name="_Toc32015"/>
      <w:bookmarkStart w:id="252" w:name="_Toc8459"/>
      <w:bookmarkStart w:id="253" w:name="_Toc317509430"/>
      <w:bookmarkStart w:id="254" w:name="_Toc325464859"/>
      <w:bookmarkStart w:id="255" w:name="_Toc217446085"/>
      <w:r>
        <w:rPr>
          <w:rFonts w:hint="eastAsia" w:ascii="黑体" w:hAnsi="黑体" w:eastAsia="黑体" w:cs="黑体"/>
          <w:b w:val="0"/>
          <w:bCs w:val="0"/>
          <w:sz w:val="28"/>
          <w:szCs w:val="28"/>
          <w:highlight w:val="none"/>
        </w:rPr>
        <w:t>二、法定代表人证明书</w:t>
      </w:r>
      <w:bookmarkEnd w:id="251"/>
      <w:bookmarkEnd w:id="252"/>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    址：</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    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响应人全称）</w:t>
      </w:r>
      <w:r>
        <w:rPr>
          <w:rFonts w:hint="eastAsia" w:ascii="仿宋_GB2312" w:hAnsi="仿宋_GB2312" w:eastAsia="仿宋_GB2312" w:cs="仿宋_GB2312"/>
          <w:sz w:val="28"/>
          <w:szCs w:val="28"/>
          <w:highlight w:val="none"/>
        </w:rPr>
        <w:t>的法定代表人。</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ind w:firstLine="3920" w:firstLineChars="14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（盖章）</w:t>
      </w:r>
    </w:p>
    <w:p>
      <w:pPr>
        <w:spacing w:line="360" w:lineRule="auto"/>
        <w:ind w:firstLine="3920" w:firstLineChars="14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注：附法定代表人的身份证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双面</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复印件并加盖单位公章。</w:t>
      </w:r>
    </w:p>
    <w:p>
      <w:pPr>
        <w:pStyle w:val="5"/>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highlight w:val="none"/>
        </w:rPr>
      </w:pPr>
      <w:bookmarkStart w:id="256" w:name="_Toc12208"/>
      <w:bookmarkStart w:id="257" w:name="_Toc6293"/>
      <w:r>
        <w:rPr>
          <w:rFonts w:hint="eastAsia" w:ascii="黑体" w:hAnsi="黑体" w:eastAsia="黑体" w:cs="黑体"/>
          <w:b w:val="0"/>
          <w:bCs w:val="0"/>
          <w:sz w:val="28"/>
          <w:szCs w:val="28"/>
          <w:highlight w:val="none"/>
          <w:lang w:val="en-US" w:eastAsia="zh-CN"/>
        </w:rPr>
        <w:t>三</w:t>
      </w:r>
      <w:r>
        <w:rPr>
          <w:rFonts w:hint="eastAsia" w:ascii="黑体" w:hAnsi="黑体" w:eastAsia="黑体" w:cs="黑体"/>
          <w:b w:val="0"/>
          <w:bCs w:val="0"/>
          <w:sz w:val="28"/>
          <w:szCs w:val="28"/>
          <w:highlight w:val="none"/>
        </w:rPr>
        <w:t>、法定代表人授权委托书</w:t>
      </w:r>
      <w:bookmarkEnd w:id="256"/>
      <w:bookmarkEnd w:id="257"/>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（采购人名称）：   </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本人</w:t>
      </w:r>
      <w:r>
        <w:rPr>
          <w:rFonts w:hint="eastAsia" w:ascii="仿宋_GB2312" w:hAnsi="仿宋_GB2312" w:eastAsia="仿宋_GB2312" w:cs="仿宋_GB2312"/>
          <w:sz w:val="28"/>
          <w:szCs w:val="28"/>
          <w:highlight w:val="none"/>
          <w:u w:val="single"/>
        </w:rPr>
        <w:t xml:space="preserve">  （姓名）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（响应人全称）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（被委托人姓名、职务）</w:t>
      </w:r>
      <w:r>
        <w:rPr>
          <w:rFonts w:hint="eastAsia" w:ascii="仿宋_GB2312" w:hAnsi="仿宋_GB2312" w:eastAsia="仿宋_GB2312" w:cs="仿宋_GB2312"/>
          <w:sz w:val="28"/>
          <w:szCs w:val="28"/>
          <w:highlight w:val="none"/>
        </w:rPr>
        <w:t>为我公司代理人，以本公司的名义参加</w:t>
      </w:r>
      <w:r>
        <w:rPr>
          <w:rFonts w:hint="eastAsia" w:ascii="仿宋_GB2312" w:hAnsi="仿宋_GB2312" w:eastAsia="仿宋_GB2312" w:cs="仿宋_GB2312"/>
          <w:sz w:val="28"/>
          <w:szCs w:val="28"/>
          <w:highlight w:val="none"/>
          <w:u w:val="single"/>
        </w:rPr>
        <w:t xml:space="preserve">      （项目名称） </w:t>
      </w:r>
      <w:r>
        <w:rPr>
          <w:rFonts w:hint="eastAsia" w:ascii="仿宋_GB2312" w:hAnsi="仿宋_GB2312" w:eastAsia="仿宋_GB2312" w:cs="仿宋_GB2312"/>
          <w:sz w:val="28"/>
          <w:szCs w:val="28"/>
          <w:highlight w:val="none"/>
        </w:rPr>
        <w:t>竞争性谈判活动。代理人在竞争性谈判活动过程中所签署的一切文件和处理与之有关的一切事务，均为代表本公司的行为，与本人的行为具有同等法律效力。本公司将承担代理人行为的一切法律责任和后果。</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委托期限：自本授权委托书签署之日起至第二章“谈判须知”前附表11条规定的“谈判有效期”结束为止。</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（盖章）</w:t>
      </w:r>
    </w:p>
    <w:p>
      <w:pPr>
        <w:spacing w:line="360" w:lineRule="auto"/>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（签字或盖章）</w:t>
      </w:r>
    </w:p>
    <w:p>
      <w:pPr>
        <w:spacing w:line="360" w:lineRule="auto"/>
        <w:ind w:firstLine="1680" w:firstLineChars="6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注：1、附法定代表人及委托代理人身份证复印件并加盖单位公章。</w:t>
      </w:r>
    </w:p>
    <w:p>
      <w:pPr>
        <w:numPr>
          <w:ilvl w:val="0"/>
          <w:numId w:val="4"/>
        </w:num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响应人的法定代表人直接参加竞争性谈判活动的，不提供本授权委托书。</w:t>
      </w:r>
    </w:p>
    <w:bookmarkEnd w:id="253"/>
    <w:bookmarkEnd w:id="254"/>
    <w:bookmarkEnd w:id="255"/>
    <w:p>
      <w:pPr>
        <w:pStyle w:val="5"/>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kern w:val="0"/>
          <w:sz w:val="28"/>
          <w:szCs w:val="28"/>
          <w:highlight w:val="none"/>
        </w:rPr>
      </w:pPr>
      <w:bookmarkStart w:id="258" w:name="_Toc317509431"/>
      <w:bookmarkStart w:id="259" w:name="_Toc325464860"/>
      <w:bookmarkStart w:id="260" w:name="_Toc30167"/>
      <w:bookmarkStart w:id="261" w:name="_Toc1489"/>
      <w:r>
        <w:rPr>
          <w:rFonts w:hint="eastAsia" w:ascii="黑体" w:hAnsi="黑体" w:eastAsia="黑体" w:cs="黑体"/>
          <w:b w:val="0"/>
          <w:bCs w:val="0"/>
          <w:sz w:val="28"/>
          <w:szCs w:val="28"/>
          <w:highlight w:val="none"/>
          <w:lang w:val="en-US" w:eastAsia="zh-CN"/>
        </w:rPr>
        <w:t>四</w:t>
      </w:r>
      <w:r>
        <w:rPr>
          <w:rFonts w:hint="eastAsia" w:ascii="黑体" w:hAnsi="黑体" w:eastAsia="黑体" w:cs="黑体"/>
          <w:b w:val="0"/>
          <w:bCs w:val="0"/>
          <w:sz w:val="28"/>
          <w:szCs w:val="28"/>
          <w:highlight w:val="none"/>
        </w:rPr>
        <w:t>、</w:t>
      </w:r>
      <w:bookmarkEnd w:id="258"/>
      <w:r>
        <w:rPr>
          <w:rFonts w:hint="eastAsia" w:ascii="黑体" w:hAnsi="黑体" w:eastAsia="黑体" w:cs="黑体"/>
          <w:b w:val="0"/>
          <w:bCs w:val="0"/>
          <w:sz w:val="28"/>
          <w:szCs w:val="28"/>
          <w:highlight w:val="none"/>
        </w:rPr>
        <w:t>响应人基本情况表</w:t>
      </w:r>
      <w:bookmarkEnd w:id="259"/>
      <w:bookmarkEnd w:id="260"/>
      <w:bookmarkEnd w:id="261"/>
      <w:r>
        <w:rPr>
          <w:rFonts w:hint="eastAsia" w:ascii="仿宋_GB2312" w:hAnsi="仿宋_GB2312" w:eastAsia="仿宋_GB2312" w:cs="仿宋_GB2312"/>
          <w:sz w:val="28"/>
          <w:szCs w:val="28"/>
          <w:highlight w:val="none"/>
        </w:rPr>
        <w:t xml:space="preserve">                                  </w:t>
      </w:r>
    </w:p>
    <w:tbl>
      <w:tblPr>
        <w:tblStyle w:val="17"/>
        <w:tblpPr w:leftFromText="180" w:rightFromText="180" w:vertAnchor="text" w:horzAnchor="margin" w:tblpXSpec="center" w:tblpY="518"/>
        <w:tblW w:w="0" w:type="auto"/>
        <w:tblInd w:w="-3" w:type="dxa"/>
        <w:tblLayout w:type="fixed"/>
        <w:tblCellMar>
          <w:top w:w="0" w:type="dxa"/>
          <w:left w:w="0" w:type="dxa"/>
          <w:bottom w:w="0" w:type="dxa"/>
          <w:right w:w="0" w:type="dxa"/>
        </w:tblCellMar>
      </w:tblPr>
      <w:tblGrid>
        <w:gridCol w:w="1699"/>
        <w:gridCol w:w="1076"/>
        <w:gridCol w:w="1375"/>
        <w:gridCol w:w="1399"/>
        <w:gridCol w:w="1484"/>
        <w:gridCol w:w="177"/>
        <w:gridCol w:w="841"/>
        <w:gridCol w:w="1133"/>
      </w:tblGrid>
      <w:tr>
        <w:tblPrEx>
          <w:tblCellMar>
            <w:top w:w="0" w:type="dxa"/>
            <w:left w:w="0" w:type="dxa"/>
            <w:bottom w:w="0" w:type="dxa"/>
            <w:right w:w="0" w:type="dxa"/>
          </w:tblCellMar>
        </w:tblPrEx>
        <w:trPr>
          <w:trHeight w:val="475" w:hRule="exact"/>
        </w:trPr>
        <w:tc>
          <w:tcPr>
            <w:tcW w:w="1699" w:type="dxa"/>
            <w:tcBorders>
              <w:top w:val="single" w:color="000000" w:sz="2"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响应人名称</w:t>
            </w:r>
          </w:p>
        </w:tc>
        <w:tc>
          <w:tcPr>
            <w:tcW w:w="7485" w:type="dxa"/>
            <w:gridSpan w:val="7"/>
            <w:tcBorders>
              <w:top w:val="single" w:color="000000" w:sz="2"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注册地址</w:t>
            </w:r>
          </w:p>
        </w:tc>
        <w:tc>
          <w:tcPr>
            <w:tcW w:w="3850" w:type="dxa"/>
            <w:gridSpan w:val="3"/>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邮政编码</w:t>
            </w:r>
          </w:p>
        </w:tc>
        <w:tc>
          <w:tcPr>
            <w:tcW w:w="2151" w:type="dxa"/>
            <w:gridSpan w:val="3"/>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37" w:hRule="exact"/>
        </w:trPr>
        <w:tc>
          <w:tcPr>
            <w:tcW w:w="1699" w:type="dxa"/>
            <w:vMerge w:val="restart"/>
            <w:tcBorders>
              <w:top w:val="single" w:color="000000" w:sz="6" w:space="0"/>
              <w:left w:val="single" w:color="000000" w:sz="2" w:space="0"/>
              <w:bottom w:val="single" w:color="000000" w:sz="6" w:space="0"/>
              <w:right w:val="single" w:color="000000" w:sz="6" w:space="0"/>
            </w:tcBorders>
            <w:noWrap w:val="0"/>
            <w:vAlign w:val="center"/>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联系方式</w:t>
            </w:r>
          </w:p>
        </w:tc>
        <w:tc>
          <w:tcPr>
            <w:tcW w:w="10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联系人</w:t>
            </w:r>
          </w:p>
        </w:tc>
        <w:tc>
          <w:tcPr>
            <w:tcW w:w="277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437" w:firstLine="280" w:firstLineChars="100"/>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电话</w:t>
            </w:r>
          </w:p>
        </w:tc>
        <w:tc>
          <w:tcPr>
            <w:tcW w:w="2151" w:type="dxa"/>
            <w:gridSpan w:val="3"/>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vMerge w:val="continue"/>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传真</w:t>
            </w:r>
          </w:p>
        </w:tc>
        <w:tc>
          <w:tcPr>
            <w:tcW w:w="2774"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437" w:firstLine="280" w:firstLineChars="100"/>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网址</w:t>
            </w:r>
          </w:p>
        </w:tc>
        <w:tc>
          <w:tcPr>
            <w:tcW w:w="2151" w:type="dxa"/>
            <w:gridSpan w:val="3"/>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0"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组织结构</w:t>
            </w:r>
          </w:p>
        </w:tc>
        <w:tc>
          <w:tcPr>
            <w:tcW w:w="7485" w:type="dxa"/>
            <w:gridSpan w:val="7"/>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法定代表人</w:t>
            </w:r>
          </w:p>
        </w:tc>
        <w:tc>
          <w:tcPr>
            <w:tcW w:w="10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87"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姓名</w:t>
            </w:r>
          </w:p>
        </w:tc>
        <w:tc>
          <w:tcPr>
            <w:tcW w:w="137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10"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技术职称</w:t>
            </w:r>
          </w:p>
        </w:tc>
        <w:tc>
          <w:tcPr>
            <w:tcW w:w="148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018"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58"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电话</w:t>
            </w:r>
          </w:p>
        </w:tc>
        <w:tc>
          <w:tcPr>
            <w:tcW w:w="1133" w:type="dxa"/>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3"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技术负责人</w:t>
            </w:r>
          </w:p>
        </w:tc>
        <w:tc>
          <w:tcPr>
            <w:tcW w:w="1076"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87"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姓名</w:t>
            </w:r>
          </w:p>
        </w:tc>
        <w:tc>
          <w:tcPr>
            <w:tcW w:w="1375"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10"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技术职称</w:t>
            </w:r>
          </w:p>
        </w:tc>
        <w:tc>
          <w:tcPr>
            <w:tcW w:w="148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018"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258"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电话</w:t>
            </w:r>
          </w:p>
        </w:tc>
        <w:tc>
          <w:tcPr>
            <w:tcW w:w="1133" w:type="dxa"/>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成立时间</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5034" w:type="dxa"/>
            <w:gridSpan w:val="5"/>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ind w:left="100"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员工总人数：</w:t>
            </w:r>
          </w:p>
        </w:tc>
      </w:tr>
      <w:tr>
        <w:tblPrEx>
          <w:tblCellMar>
            <w:top w:w="0" w:type="dxa"/>
            <w:left w:w="0" w:type="dxa"/>
            <w:bottom w:w="0" w:type="dxa"/>
            <w:right w:w="0" w:type="dxa"/>
          </w:tblCellMar>
        </w:tblPrEx>
        <w:trPr>
          <w:trHeight w:val="480"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企业资质等级</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vMerge w:val="restart"/>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ind w:right="-2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其</w:t>
            </w:r>
            <w:r>
              <w:rPr>
                <w:rFonts w:hint="eastAsia" w:ascii="仿宋_GB2312" w:hAnsi="仿宋_GB2312" w:eastAsia="仿宋_GB2312" w:cs="仿宋_GB2312"/>
                <w:kern w:val="0"/>
                <w:sz w:val="28"/>
                <w:szCs w:val="28"/>
                <w:highlight w:val="none"/>
              </w:rPr>
              <w:t>中</w:t>
            </w:r>
          </w:p>
        </w:tc>
        <w:tc>
          <w:tcPr>
            <w:tcW w:w="166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项目负责人</w:t>
            </w:r>
          </w:p>
        </w:tc>
        <w:tc>
          <w:tcPr>
            <w:tcW w:w="1974" w:type="dxa"/>
            <w:gridSpan w:val="2"/>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营业执照号</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vMerge w:val="continue"/>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66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102"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高级职称人员</w:t>
            </w:r>
          </w:p>
        </w:tc>
        <w:tc>
          <w:tcPr>
            <w:tcW w:w="1974" w:type="dxa"/>
            <w:gridSpan w:val="2"/>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注册资金</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vMerge w:val="continue"/>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66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102"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中级职称人员</w:t>
            </w:r>
          </w:p>
        </w:tc>
        <w:tc>
          <w:tcPr>
            <w:tcW w:w="1974" w:type="dxa"/>
            <w:gridSpan w:val="2"/>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482"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开户银行</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vMerge w:val="continue"/>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66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102" w:right="-2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初级职称人员</w:t>
            </w:r>
          </w:p>
        </w:tc>
        <w:tc>
          <w:tcPr>
            <w:tcW w:w="1974" w:type="dxa"/>
            <w:gridSpan w:val="2"/>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677" w:hRule="exact"/>
        </w:trPr>
        <w:tc>
          <w:tcPr>
            <w:tcW w:w="1699" w:type="dxa"/>
            <w:tcBorders>
              <w:top w:val="single" w:color="000000" w:sz="6" w:space="0"/>
              <w:left w:val="single" w:color="000000" w:sz="2" w:space="0"/>
              <w:bottom w:val="single" w:color="000000" w:sz="6" w:space="0"/>
              <w:right w:val="single" w:color="000000" w:sz="6" w:space="0"/>
            </w:tcBorders>
            <w:noWrap w:val="0"/>
            <w:vAlign w:val="top"/>
          </w:tcPr>
          <w:p>
            <w:pPr>
              <w:autoSpaceDE w:val="0"/>
              <w:autoSpaceDN w:val="0"/>
              <w:adjustRightInd w:val="0"/>
              <w:spacing w:line="360" w:lineRule="auto"/>
              <w:ind w:right="543"/>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position w:val="-2"/>
                <w:sz w:val="28"/>
                <w:szCs w:val="28"/>
                <w:highlight w:val="none"/>
              </w:rPr>
              <w:t>账</w:t>
            </w:r>
            <w:r>
              <w:rPr>
                <w:rFonts w:hint="eastAsia" w:ascii="仿宋_GB2312" w:hAnsi="仿宋_GB2312" w:eastAsia="仿宋_GB2312" w:cs="仿宋_GB2312"/>
                <w:kern w:val="0"/>
                <w:position w:val="-2"/>
                <w:sz w:val="28"/>
                <w:szCs w:val="28"/>
                <w:highlight w:val="none"/>
                <w:lang w:val="en-US" w:eastAsia="zh-CN"/>
              </w:rPr>
              <w:t xml:space="preserve">   </w:t>
            </w:r>
            <w:r>
              <w:rPr>
                <w:rFonts w:hint="eastAsia" w:ascii="仿宋_GB2312" w:hAnsi="仿宋_GB2312" w:eastAsia="仿宋_GB2312" w:cs="仿宋_GB2312"/>
                <w:kern w:val="0"/>
                <w:position w:val="-2"/>
                <w:sz w:val="28"/>
                <w:szCs w:val="28"/>
                <w:highlight w:val="none"/>
              </w:rPr>
              <w:t>号</w:t>
            </w:r>
          </w:p>
        </w:tc>
        <w:tc>
          <w:tcPr>
            <w:tcW w:w="245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399" w:type="dxa"/>
            <w:vMerge w:val="continue"/>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c>
          <w:tcPr>
            <w:tcW w:w="1661" w:type="dxa"/>
            <w:gridSpan w:val="2"/>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left="544" w:right="524"/>
              <w:jc w:val="center"/>
              <w:rPr>
                <w:rFonts w:hint="eastAsia" w:ascii="仿宋_GB2312" w:hAnsi="仿宋_GB2312" w:eastAsia="仿宋_GB2312" w:cs="仿宋_GB2312"/>
                <w:kern w:val="0"/>
                <w:sz w:val="28"/>
                <w:szCs w:val="28"/>
                <w:highlight w:val="none"/>
              </w:rPr>
            </w:pPr>
          </w:p>
        </w:tc>
        <w:tc>
          <w:tcPr>
            <w:tcW w:w="1974" w:type="dxa"/>
            <w:gridSpan w:val="2"/>
            <w:tcBorders>
              <w:top w:val="single" w:color="000000" w:sz="6" w:space="0"/>
              <w:left w:val="single" w:color="000000" w:sz="6" w:space="0"/>
              <w:bottom w:val="single" w:color="000000" w:sz="6"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2456" w:hRule="exact"/>
        </w:trPr>
        <w:tc>
          <w:tcPr>
            <w:tcW w:w="1699" w:type="dxa"/>
            <w:tcBorders>
              <w:top w:val="single" w:color="000000" w:sz="6" w:space="0"/>
              <w:left w:val="single" w:color="000000" w:sz="2" w:space="0"/>
              <w:bottom w:val="single" w:color="auto" w:sz="4" w:space="0"/>
              <w:right w:val="single" w:color="000000" w:sz="6" w:space="0"/>
            </w:tcBorders>
            <w:noWrap w:val="0"/>
            <w:vAlign w:val="top"/>
          </w:tcPr>
          <w:p>
            <w:pPr>
              <w:autoSpaceDE w:val="0"/>
              <w:autoSpaceDN w:val="0"/>
              <w:adjustRightInd w:val="0"/>
              <w:spacing w:before="6" w:line="360" w:lineRule="auto"/>
              <w:jc w:val="center"/>
              <w:rPr>
                <w:rFonts w:hint="eastAsia" w:ascii="仿宋_GB2312" w:hAnsi="仿宋_GB2312" w:eastAsia="仿宋_GB2312" w:cs="仿宋_GB2312"/>
                <w:kern w:val="0"/>
                <w:sz w:val="28"/>
                <w:szCs w:val="28"/>
                <w:highlight w:val="none"/>
              </w:rPr>
            </w:pPr>
          </w:p>
          <w:p>
            <w:pPr>
              <w:autoSpaceDE w:val="0"/>
              <w:autoSpaceDN w:val="0"/>
              <w:adjustRightInd w:val="0"/>
              <w:spacing w:line="360" w:lineRule="auto"/>
              <w:jc w:val="center"/>
              <w:rPr>
                <w:rFonts w:hint="eastAsia" w:ascii="仿宋_GB2312" w:hAnsi="仿宋_GB2312" w:eastAsia="仿宋_GB2312" w:cs="仿宋_GB2312"/>
                <w:kern w:val="0"/>
                <w:sz w:val="28"/>
                <w:szCs w:val="28"/>
                <w:highlight w:val="none"/>
              </w:rPr>
            </w:pPr>
          </w:p>
          <w:p>
            <w:pPr>
              <w:autoSpaceDE w:val="0"/>
              <w:autoSpaceDN w:val="0"/>
              <w:adjustRightInd w:val="0"/>
              <w:spacing w:line="360" w:lineRule="auto"/>
              <w:ind w:right="-2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经营范围</w:t>
            </w:r>
          </w:p>
        </w:tc>
        <w:tc>
          <w:tcPr>
            <w:tcW w:w="7485" w:type="dxa"/>
            <w:gridSpan w:val="7"/>
            <w:tcBorders>
              <w:top w:val="single" w:color="000000" w:sz="6" w:space="0"/>
              <w:left w:val="single" w:color="000000" w:sz="6" w:space="0"/>
              <w:bottom w:val="single" w:color="auto" w:sz="4" w:space="0"/>
              <w:right w:val="single" w:color="000000" w:sz="2"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r>
        <w:tblPrEx>
          <w:tblCellMar>
            <w:top w:w="0" w:type="dxa"/>
            <w:left w:w="0" w:type="dxa"/>
            <w:bottom w:w="0" w:type="dxa"/>
            <w:right w:w="0" w:type="dxa"/>
          </w:tblCellMar>
        </w:tblPrEx>
        <w:trPr>
          <w:trHeight w:val="1082" w:hRule="exact"/>
        </w:trPr>
        <w:tc>
          <w:tcPr>
            <w:tcW w:w="1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4" w:line="360" w:lineRule="auto"/>
              <w:jc w:val="center"/>
              <w:rPr>
                <w:rFonts w:hint="eastAsia" w:ascii="仿宋_GB2312" w:hAnsi="仿宋_GB2312" w:eastAsia="仿宋_GB2312" w:cs="仿宋_GB2312"/>
                <w:kern w:val="0"/>
                <w:sz w:val="28"/>
                <w:szCs w:val="28"/>
                <w:highlight w:val="none"/>
              </w:rPr>
            </w:pPr>
          </w:p>
          <w:p>
            <w:pPr>
              <w:tabs>
                <w:tab w:val="left" w:pos="960"/>
              </w:tabs>
              <w:autoSpaceDE w:val="0"/>
              <w:autoSpaceDN w:val="0"/>
              <w:adjustRightInd w:val="0"/>
              <w:spacing w:line="360" w:lineRule="auto"/>
              <w:ind w:right="-2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备</w:t>
            </w:r>
            <w:r>
              <w:rPr>
                <w:rFonts w:hint="eastAsia" w:ascii="仿宋_GB2312" w:hAnsi="仿宋_GB2312" w:eastAsia="仿宋_GB2312" w:cs="仿宋_GB2312"/>
                <w:kern w:val="0"/>
                <w:sz w:val="28"/>
                <w:szCs w:val="28"/>
                <w:highlight w:val="none"/>
              </w:rPr>
              <w:tab/>
            </w:r>
            <w:r>
              <w:rPr>
                <w:rFonts w:hint="eastAsia" w:ascii="仿宋_GB2312" w:hAnsi="仿宋_GB2312" w:eastAsia="仿宋_GB2312" w:cs="仿宋_GB2312"/>
                <w:kern w:val="0"/>
                <w:sz w:val="28"/>
                <w:szCs w:val="28"/>
                <w:highlight w:val="none"/>
              </w:rPr>
              <w:t>注</w:t>
            </w:r>
          </w:p>
        </w:tc>
        <w:tc>
          <w:tcPr>
            <w:tcW w:w="7485" w:type="dxa"/>
            <w:gridSpan w:val="7"/>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jc w:val="left"/>
              <w:rPr>
                <w:rFonts w:hint="eastAsia" w:ascii="仿宋_GB2312" w:hAnsi="仿宋_GB2312" w:eastAsia="仿宋_GB2312" w:cs="仿宋_GB2312"/>
                <w:kern w:val="0"/>
                <w:sz w:val="28"/>
                <w:szCs w:val="28"/>
                <w:highlight w:val="none"/>
              </w:rPr>
            </w:pPr>
          </w:p>
        </w:tc>
      </w:tr>
    </w:tbl>
    <w:p>
      <w:pPr>
        <w:spacing w:line="360" w:lineRule="auto"/>
        <w:jc w:val="left"/>
        <w:rPr>
          <w:rFonts w:hint="eastAsia" w:ascii="仿宋_GB2312" w:hAnsi="仿宋_GB2312" w:eastAsia="仿宋_GB2312" w:cs="仿宋_GB2312"/>
          <w:sz w:val="28"/>
          <w:szCs w:val="28"/>
          <w:highlight w:val="none"/>
        </w:rPr>
      </w:pPr>
    </w:p>
    <w:p>
      <w:pPr>
        <w:spacing w:line="36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注：附营业执照副本等响应人资格要求材料的复印件。</w:t>
      </w:r>
    </w:p>
    <w:p>
      <w:pPr>
        <w:spacing w:line="360" w:lineRule="auto"/>
        <w:rPr>
          <w:rFonts w:hint="eastAsia" w:ascii="仿宋_GB2312" w:hAnsi="仿宋_GB2312" w:eastAsia="仿宋_GB2312" w:cs="仿宋_GB2312"/>
          <w:sz w:val="28"/>
          <w:szCs w:val="28"/>
          <w:highlight w:val="none"/>
        </w:rPr>
      </w:pPr>
      <w:bookmarkStart w:id="262" w:name="_Toc325464862"/>
    </w:p>
    <w:p>
      <w:pPr>
        <w:spacing w:line="360" w:lineRule="auto"/>
        <w:rPr>
          <w:rFonts w:hint="eastAsia" w:ascii="仿宋_GB2312" w:hAnsi="仿宋_GB2312" w:eastAsia="仿宋_GB2312" w:cs="仿宋_GB2312"/>
          <w:sz w:val="28"/>
          <w:szCs w:val="28"/>
          <w:highlight w:val="none"/>
        </w:rPr>
      </w:pPr>
    </w:p>
    <w:p>
      <w:pPr>
        <w:pStyle w:val="5"/>
        <w:spacing w:line="360" w:lineRule="auto"/>
        <w:jc w:val="center"/>
        <w:outlineLvl w:val="0"/>
        <w:rPr>
          <w:rFonts w:hint="eastAsia" w:ascii="黑体" w:hAnsi="黑体" w:eastAsia="黑体" w:cs="黑体"/>
          <w:b w:val="0"/>
          <w:bCs w:val="0"/>
          <w:sz w:val="28"/>
          <w:szCs w:val="28"/>
          <w:highlight w:val="none"/>
        </w:rPr>
      </w:pPr>
      <w:bookmarkStart w:id="263" w:name="_Toc28128"/>
      <w:bookmarkStart w:id="264" w:name="_Toc14800"/>
      <w:bookmarkStart w:id="265" w:name="_Toc123678"/>
      <w:r>
        <w:rPr>
          <w:rFonts w:hint="eastAsia" w:ascii="黑体" w:hAnsi="黑体" w:eastAsia="黑体" w:cs="黑体"/>
          <w:b w:val="0"/>
          <w:bCs w:val="0"/>
          <w:sz w:val="28"/>
          <w:szCs w:val="28"/>
          <w:highlight w:val="none"/>
          <w:lang w:val="en-US" w:eastAsia="zh-CN"/>
        </w:rPr>
        <w:t>五</w:t>
      </w:r>
      <w:r>
        <w:rPr>
          <w:rFonts w:hint="eastAsia" w:ascii="黑体" w:hAnsi="黑体" w:eastAsia="黑体" w:cs="黑体"/>
          <w:b w:val="0"/>
          <w:bCs w:val="0"/>
          <w:sz w:val="28"/>
          <w:szCs w:val="28"/>
          <w:highlight w:val="none"/>
        </w:rPr>
        <w:t>、近年完成的类似项目情况表</w:t>
      </w:r>
      <w:bookmarkEnd w:id="263"/>
      <w:bookmarkEnd w:id="264"/>
      <w:r>
        <w:rPr>
          <w:rFonts w:hint="eastAsia" w:ascii="黑体" w:hAnsi="黑体" w:eastAsia="黑体" w:cs="黑体"/>
          <w:b w:val="0"/>
          <w:bCs w:val="0"/>
          <w:sz w:val="28"/>
          <w:szCs w:val="28"/>
          <w:highlight w:val="none"/>
        </w:rPr>
        <w:t xml:space="preserve"> </w:t>
      </w:r>
      <w:bookmarkEnd w:id="265"/>
    </w:p>
    <w:tbl>
      <w:tblPr>
        <w:tblStyle w:val="17"/>
        <w:tblW w:w="0" w:type="auto"/>
        <w:tblInd w:w="60" w:type="dxa"/>
        <w:tblLayout w:type="fixed"/>
        <w:tblCellMar>
          <w:top w:w="169" w:type="dxa"/>
          <w:left w:w="108" w:type="dxa"/>
          <w:bottom w:w="48" w:type="dxa"/>
          <w:right w:w="115" w:type="dxa"/>
        </w:tblCellMar>
      </w:tblPr>
      <w:tblGrid>
        <w:gridCol w:w="2269"/>
        <w:gridCol w:w="6253"/>
      </w:tblGrid>
      <w:tr>
        <w:tblPrEx>
          <w:tblCellMar>
            <w:top w:w="169" w:type="dxa"/>
            <w:left w:w="108" w:type="dxa"/>
            <w:bottom w:w="48" w:type="dxa"/>
            <w:right w:w="115"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项目名称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项目所在地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发包人名称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80"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发包人地址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发包人电话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服务期限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82"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服务内容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项目负责人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r>
        <w:tblPrEx>
          <w:tblCellMar>
            <w:top w:w="169" w:type="dxa"/>
            <w:left w:w="108" w:type="dxa"/>
            <w:bottom w:w="48" w:type="dxa"/>
            <w:right w:w="115" w:type="dxa"/>
          </w:tblCellMar>
        </w:tblPrEx>
        <w:trPr>
          <w:trHeight w:val="1740"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7"/>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项目描述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after="175" w:line="360" w:lineRule="auto"/>
              <w:rPr>
                <w:rFonts w:hint="eastAsia" w:ascii="仿宋_GB2312" w:hAnsi="仿宋_GB2312" w:eastAsia="仿宋_GB2312" w:cs="仿宋_GB2312"/>
                <w:sz w:val="28"/>
                <w:szCs w:val="28"/>
                <w:highlight w:val="none"/>
              </w:rPr>
            </w:pPr>
          </w:p>
        </w:tc>
      </w:tr>
      <w:tr>
        <w:tblPrEx>
          <w:tblCellMar>
            <w:top w:w="169" w:type="dxa"/>
            <w:left w:w="108" w:type="dxa"/>
            <w:bottom w:w="48" w:type="dxa"/>
            <w:right w:w="115" w:type="dxa"/>
          </w:tblCellMar>
        </w:tblPrEx>
        <w:trPr>
          <w:trHeight w:val="679" w:hRule="atLeast"/>
        </w:trPr>
        <w:tc>
          <w:tcPr>
            <w:tcW w:w="22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left="9"/>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备注 </w:t>
            </w:r>
          </w:p>
        </w:tc>
        <w:tc>
          <w:tcPr>
            <w:tcW w:w="625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tc>
      </w:tr>
    </w:tbl>
    <w:p>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注：附合同复印件并加盖公司公章。</w:t>
      </w:r>
    </w:p>
    <w:p>
      <w:pPr>
        <w:pStyle w:val="5"/>
        <w:spacing w:line="360" w:lineRule="auto"/>
        <w:jc w:val="center"/>
        <w:outlineLvl w:val="9"/>
        <w:rPr>
          <w:rFonts w:hint="eastAsia" w:ascii="黑体" w:hAnsi="黑体" w:eastAsia="黑体" w:cs="黑体"/>
          <w:b w:val="0"/>
          <w:bCs w:val="0"/>
          <w:sz w:val="28"/>
          <w:szCs w:val="28"/>
          <w:highlight w:val="none"/>
          <w:lang w:val="en-US" w:eastAsia="zh-CN"/>
        </w:rPr>
        <w:sectPr>
          <w:headerReference r:id="rId17" w:type="default"/>
          <w:footerReference r:id="rId18" w:type="default"/>
          <w:pgSz w:w="11907" w:h="16840"/>
          <w:pgMar w:top="1440" w:right="1474" w:bottom="1440" w:left="1474" w:header="851" w:footer="992" w:gutter="0"/>
          <w:pgNumType w:fmt="decimal"/>
          <w:cols w:space="720" w:num="1"/>
          <w:rtlGutter w:val="0"/>
          <w:docGrid w:linePitch="326" w:charSpace="0"/>
        </w:sectPr>
      </w:pPr>
      <w:bookmarkStart w:id="266" w:name="_Toc1032"/>
    </w:p>
    <w:p>
      <w:pPr>
        <w:pStyle w:val="5"/>
        <w:spacing w:line="360" w:lineRule="auto"/>
        <w:jc w:val="center"/>
        <w:outlineLvl w:val="0"/>
        <w:rPr>
          <w:rFonts w:hint="eastAsia" w:ascii="黑体" w:hAnsi="黑体" w:eastAsia="黑体" w:cs="黑体"/>
          <w:b w:val="0"/>
          <w:bCs w:val="0"/>
          <w:sz w:val="28"/>
          <w:szCs w:val="28"/>
          <w:highlight w:val="none"/>
        </w:rPr>
      </w:pPr>
      <w:bookmarkStart w:id="267" w:name="_Toc14691"/>
      <w:r>
        <w:rPr>
          <w:rFonts w:hint="eastAsia" w:ascii="黑体" w:hAnsi="黑体" w:eastAsia="黑体" w:cs="黑体"/>
          <w:b w:val="0"/>
          <w:bCs w:val="0"/>
          <w:sz w:val="28"/>
          <w:szCs w:val="28"/>
          <w:highlight w:val="none"/>
          <w:lang w:val="en-US" w:eastAsia="zh-CN"/>
        </w:rPr>
        <w:t>六</w:t>
      </w:r>
      <w:r>
        <w:rPr>
          <w:rFonts w:hint="eastAsia" w:ascii="黑体" w:hAnsi="黑体" w:eastAsia="黑体" w:cs="黑体"/>
          <w:b w:val="0"/>
          <w:bCs w:val="0"/>
          <w:sz w:val="28"/>
          <w:szCs w:val="28"/>
          <w:highlight w:val="none"/>
        </w:rPr>
        <w:t>、承诺函</w:t>
      </w:r>
      <w:bookmarkEnd w:id="266"/>
      <w:bookmarkEnd w:id="267"/>
    </w:p>
    <w:p>
      <w:pPr>
        <w:adjustRightInd w:val="0"/>
        <w:snapToGrid w:val="0"/>
        <w:spacing w:line="360" w:lineRule="auto"/>
        <w:jc w:val="center"/>
        <w:outlineLvl w:val="1"/>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1、投标活动廉洁承诺书</w:t>
      </w:r>
    </w:p>
    <w:p>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采购人名称)：</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本响应人人已详细阅读了</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ab/>
      </w:r>
      <w:r>
        <w:rPr>
          <w:rFonts w:hint="eastAsia" w:ascii="仿宋_GB2312" w:hAnsi="仿宋_GB2312" w:eastAsia="仿宋_GB2312" w:cs="仿宋_GB2312"/>
          <w:sz w:val="28"/>
          <w:szCs w:val="28"/>
          <w:highlight w:val="none"/>
        </w:rPr>
        <w:t>（项目名称）项目竞争性谈判文件，自愿参加上述项目谈判，严格遵守国家法律、 法规及有关招标投标规定和能投集团相关规定。现就下列事项向采购人郑重承诺如下：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一、保证服从采购文件和采购人及采购代理机构安排，遵守谈判有关会议现场纪律。否则，同意被取消谈判资格或没收谈判保证金。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二、保证接受竞争性谈判文件全部内容。否则，同意被取消谈判资格。</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谈判响应文件中所有内容全部真实有效（包括证件、资料、业绩、印章、证书），谈判响应文件中拟派项目管理班子的所有成员没有在建项目。若评标过程中查出有虚假或成交之后查出有虚假，响应人同意对谈判响应文件作废标处理，取消成交资格，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保证不挂靠投标，包括挂靠其他单位，或从其他单位通过转让或租借的方式获取资格或资质证书，或者由其他单位及其法定代表人在自己编制的谈判响应文件上加盖印章和签字等行为。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五、保证不与其他响应人串通投标或者与采购人串通投标。否则，同意接受采购人没收谈判保证金并接受行政处罚。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六、保证不参与陪标、围标行为。否则，同意接受采购人没收谈判保证金并接受行政处罚。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七、保证不向采购人、采购代理机构及其工作人员或评标委员会成员用行贿等不正当手段谋取成交。否则，同意接受采购人没收谈判保证金并接受行政处罚。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八、保证不实施招投标法律法规和规范性文件规定的其他违 法违纪行为，采购人若有以上违反承诺的行为，将自觉接受招投标行政主管部门依照法律法规和有关规定作出的行政处罚。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本承诺书一式两份，采购人、承诺人各存一份，复印件由双方纪检监察部门保存。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sz w:val="28"/>
          <w:szCs w:val="28"/>
          <w:highlight w:val="none"/>
        </w:rPr>
      </w:pPr>
    </w:p>
    <w:p>
      <w:pPr>
        <w:adjustRightInd w:val="0"/>
        <w:snapToGrid w:val="0"/>
        <w:spacing w:line="360" w:lineRule="auto"/>
        <w:jc w:val="righ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承诺人：</w:t>
      </w:r>
      <w:r>
        <w:rPr>
          <w:rFonts w:hint="eastAsia" w:ascii="仿宋_GB2312" w:hAnsi="仿宋_GB2312" w:eastAsia="仿宋_GB2312" w:cs="仿宋_GB2312"/>
          <w:sz w:val="28"/>
          <w:szCs w:val="28"/>
          <w:highlight w:val="none"/>
          <w:u w:val="single"/>
        </w:rPr>
        <w:t xml:space="preserve">  （响应人名称盖章）  </w:t>
      </w:r>
    </w:p>
    <w:p>
      <w:pPr>
        <w:adjustRightInd w:val="0"/>
        <w:snapToGrid w:val="0"/>
        <w:spacing w:line="360" w:lineRule="auto"/>
        <w:jc w:val="righ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法定代表人或委托代理人：</w:t>
      </w:r>
      <w:r>
        <w:rPr>
          <w:rFonts w:hint="eastAsia" w:ascii="仿宋_GB2312" w:hAnsi="仿宋_GB2312" w:eastAsia="仿宋_GB2312" w:cs="仿宋_GB2312"/>
          <w:sz w:val="28"/>
          <w:szCs w:val="28"/>
          <w:highlight w:val="none"/>
          <w:u w:val="single"/>
        </w:rPr>
        <w:t xml:space="preserve">  （签名或盖章） </w:t>
      </w:r>
    </w:p>
    <w:p>
      <w:pPr>
        <w:adjustRightInd w:val="0"/>
        <w:snapToGrid w:val="0"/>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adjustRightInd w:val="0"/>
        <w:snapToGrid w:val="0"/>
        <w:spacing w:line="360" w:lineRule="auto"/>
        <w:jc w:val="center"/>
        <w:rPr>
          <w:rFonts w:hint="eastAsia" w:ascii="仿宋_GB2312" w:hAnsi="仿宋_GB2312" w:eastAsia="仿宋_GB2312" w:cs="仿宋_GB2312"/>
          <w:b/>
          <w:sz w:val="28"/>
          <w:szCs w:val="28"/>
          <w:highlight w:val="none"/>
        </w:rPr>
      </w:pPr>
    </w:p>
    <w:p>
      <w:pPr>
        <w:adjustRightInd w:val="0"/>
        <w:snapToGrid w:val="0"/>
        <w:spacing w:line="360" w:lineRule="auto"/>
        <w:jc w:val="center"/>
        <w:rPr>
          <w:rFonts w:hint="eastAsia" w:ascii="仿宋_GB2312" w:hAnsi="仿宋_GB2312" w:eastAsia="仿宋_GB2312" w:cs="仿宋_GB2312"/>
          <w:b/>
          <w:sz w:val="28"/>
          <w:szCs w:val="28"/>
          <w:highlight w:val="none"/>
        </w:rPr>
      </w:pPr>
    </w:p>
    <w:p>
      <w:pPr>
        <w:adjustRightInd w:val="0"/>
        <w:snapToGrid w:val="0"/>
        <w:spacing w:line="360" w:lineRule="auto"/>
        <w:jc w:val="center"/>
        <w:rPr>
          <w:rFonts w:hint="eastAsia" w:ascii="仿宋_GB2312" w:hAnsi="仿宋_GB2312" w:eastAsia="仿宋_GB2312" w:cs="仿宋_GB2312"/>
          <w:b/>
          <w:sz w:val="28"/>
          <w:szCs w:val="28"/>
          <w:highlight w:val="none"/>
        </w:rPr>
      </w:pPr>
    </w:p>
    <w:p>
      <w:pPr>
        <w:adjustRightInd w:val="0"/>
        <w:snapToGrid w:val="0"/>
        <w:spacing w:line="360" w:lineRule="auto"/>
        <w:jc w:val="center"/>
        <w:rPr>
          <w:rFonts w:hint="eastAsia" w:ascii="仿宋_GB2312" w:hAnsi="仿宋_GB2312" w:eastAsia="仿宋_GB2312" w:cs="仿宋_GB2312"/>
          <w:b/>
          <w:sz w:val="28"/>
          <w:szCs w:val="28"/>
          <w:highlight w:val="none"/>
        </w:rPr>
      </w:pPr>
    </w:p>
    <w:p>
      <w:pPr>
        <w:adjustRightInd w:val="0"/>
        <w:snapToGrid w:val="0"/>
        <w:spacing w:line="360" w:lineRule="auto"/>
        <w:jc w:val="center"/>
        <w:rPr>
          <w:rFonts w:hint="eastAsia" w:ascii="仿宋_GB2312" w:hAnsi="仿宋_GB2312" w:eastAsia="仿宋_GB2312" w:cs="仿宋_GB2312"/>
          <w:b/>
          <w:sz w:val="28"/>
          <w:szCs w:val="28"/>
          <w:highlight w:val="none"/>
        </w:rPr>
      </w:pPr>
    </w:p>
    <w:p>
      <w:pPr>
        <w:adjustRightInd w:val="0"/>
        <w:snapToGrid w:val="0"/>
        <w:spacing w:line="360" w:lineRule="auto"/>
        <w:jc w:val="center"/>
        <w:rPr>
          <w:rFonts w:hint="eastAsia" w:ascii="仿宋_GB2312" w:hAnsi="仿宋_GB2312" w:eastAsia="仿宋_GB2312" w:cs="仿宋_GB2312"/>
          <w:b/>
          <w:sz w:val="28"/>
          <w:szCs w:val="28"/>
          <w:highlight w:val="none"/>
        </w:rPr>
      </w:pP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2、承诺函</w:t>
      </w:r>
    </w:p>
    <w:p>
      <w:pPr>
        <w:pStyle w:val="6"/>
        <w:spacing w:line="360" w:lineRule="auto"/>
        <w:ind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（采购人名称）：</w:t>
      </w:r>
    </w:p>
    <w:p>
      <w:pPr>
        <w:pStyle w:val="6"/>
        <w:spacing w:line="360" w:lineRule="auto"/>
        <w:ind w:firstLine="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我公司作为本次采购项目的响应人，根据竞争性谈判文件要求，现郑重承诺如下：</w:t>
      </w:r>
    </w:p>
    <w:p>
      <w:pPr>
        <w:spacing w:line="360" w:lineRule="auto"/>
        <w:ind w:firstLine="600" w:firstLineChars="200"/>
        <w:jc w:val="left"/>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（1）具有独立承担民事责任的能力，并且具有有效的营业执照；</w:t>
      </w:r>
    </w:p>
    <w:p>
      <w:pPr>
        <w:spacing w:line="360" w:lineRule="auto"/>
        <w:ind w:firstLine="600" w:firstLineChars="200"/>
        <w:jc w:val="left"/>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（2）具有良好的商业信誉和健全的财务会计制度；</w:t>
      </w:r>
    </w:p>
    <w:p>
      <w:pPr>
        <w:spacing w:line="360" w:lineRule="auto"/>
        <w:ind w:firstLine="600" w:firstLineChars="200"/>
        <w:jc w:val="left"/>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（3）具有履行合同所必需的设备和专业技术能力；</w:t>
      </w:r>
    </w:p>
    <w:p>
      <w:pPr>
        <w:spacing w:line="360" w:lineRule="auto"/>
        <w:ind w:firstLine="600" w:firstLineChars="200"/>
        <w:jc w:val="left"/>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（4）具有依法缴纳税收和社会保障资金的良好记录；</w:t>
      </w:r>
    </w:p>
    <w:p>
      <w:pPr>
        <w:spacing w:line="360" w:lineRule="auto"/>
        <w:ind w:firstLine="600" w:firstLineChars="200"/>
        <w:jc w:val="left"/>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（5）参加此项采购活动前三年内，在经营活动中没有重大违法记录；</w:t>
      </w:r>
    </w:p>
    <w:p>
      <w:pPr>
        <w:spacing w:line="360" w:lineRule="auto"/>
        <w:ind w:firstLine="60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0"/>
          <w:sz w:val="28"/>
          <w:szCs w:val="28"/>
          <w:highlight w:val="none"/>
        </w:rPr>
        <w:t>（6）</w:t>
      </w:r>
      <w:r>
        <w:rPr>
          <w:rFonts w:hint="eastAsia" w:ascii="仿宋_GB2312" w:hAnsi="仿宋_GB2312" w:eastAsia="仿宋_GB2312" w:cs="仿宋_GB2312"/>
          <w:sz w:val="28"/>
          <w:szCs w:val="28"/>
          <w:highlight w:val="none"/>
        </w:rPr>
        <w:t>未被市场监督管理机关在国家企业信用信息公示系统中列入严重违法失信企业名单，未被 “信用中国”网站（www.creditchina.gov.cn）或各级信用信息共享平台中列入失信被执行人名单；</w:t>
      </w:r>
    </w:p>
    <w:p>
      <w:pPr>
        <w:snapToGrid w:val="0"/>
        <w:spacing w:line="360" w:lineRule="auto"/>
        <w:ind w:firstLine="600" w:firstLineChars="200"/>
        <w:rPr>
          <w:rFonts w:hint="eastAsia" w:ascii="仿宋_GB2312" w:hAnsi="仿宋_GB2312" w:eastAsia="仿宋_GB2312" w:cs="仿宋_GB2312"/>
          <w:spacing w:val="10"/>
          <w:sz w:val="28"/>
          <w:szCs w:val="28"/>
          <w:highlight w:val="none"/>
        </w:rPr>
      </w:pPr>
      <w:r>
        <w:rPr>
          <w:rFonts w:hint="eastAsia" w:ascii="仿宋_GB2312" w:hAnsi="仿宋_GB2312" w:eastAsia="仿宋_GB2312" w:cs="仿宋_GB2312"/>
          <w:spacing w:val="10"/>
          <w:sz w:val="28"/>
          <w:szCs w:val="28"/>
          <w:highlight w:val="none"/>
        </w:rPr>
        <w:t>（7）法律、行政法规规定的其他条件。</w:t>
      </w:r>
    </w:p>
    <w:p>
      <w:pPr>
        <w:pStyle w:val="6"/>
        <w:spacing w:line="360" w:lineRule="auto"/>
        <w:rPr>
          <w:rFonts w:hint="eastAsia" w:ascii="仿宋_GB2312" w:hAnsi="仿宋_GB2312" w:eastAsia="仿宋_GB2312" w:cs="仿宋_GB2312"/>
          <w:sz w:val="28"/>
          <w:szCs w:val="28"/>
          <w:highlight w:val="none"/>
        </w:rPr>
      </w:pPr>
    </w:p>
    <w:p>
      <w:pPr>
        <w:pStyle w:val="6"/>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(盖章)</w:t>
      </w:r>
    </w:p>
    <w:p>
      <w:pPr>
        <w:pStyle w:val="6"/>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法定代表人或委托代理人：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(签字)</w:t>
      </w:r>
    </w:p>
    <w:p>
      <w:pPr>
        <w:pStyle w:val="6"/>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月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Style w:val="6"/>
        <w:spacing w:line="360" w:lineRule="auto"/>
        <w:ind w:firstLine="4200" w:firstLineChars="1500"/>
        <w:rPr>
          <w:rFonts w:hint="eastAsia" w:ascii="仿宋_GB2312" w:hAnsi="仿宋_GB2312" w:eastAsia="仿宋_GB2312" w:cs="仿宋_GB2312"/>
          <w:sz w:val="28"/>
          <w:szCs w:val="28"/>
          <w:highlight w:val="none"/>
        </w:rPr>
      </w:pPr>
    </w:p>
    <w:p>
      <w:pPr>
        <w:keepNext w:val="0"/>
        <w:keepLines w:val="0"/>
        <w:pageBreakBefore/>
        <w:widowControl w:val="0"/>
        <w:kinsoku/>
        <w:wordWrap/>
        <w:overflowPunct/>
        <w:topLinePunct w:val="0"/>
        <w:autoSpaceDE/>
        <w:autoSpaceDN/>
        <w:bidi w:val="0"/>
        <w:adjustRightInd w:val="0"/>
        <w:snapToGrid w:val="0"/>
        <w:spacing w:line="360" w:lineRule="auto"/>
        <w:jc w:val="center"/>
        <w:textAlignment w:val="auto"/>
        <w:outlineLvl w:val="1"/>
        <w:rPr>
          <w:rFonts w:hint="eastAsia" w:ascii="仿宋_GB2312" w:hAnsi="仿宋_GB2312" w:eastAsia="仿宋_GB2312" w:cs="仿宋_GB2312"/>
          <w:b/>
          <w:sz w:val="28"/>
          <w:szCs w:val="28"/>
          <w:highlight w:val="none"/>
          <w:lang w:val="en-US" w:eastAsia="zh-CN"/>
        </w:rPr>
      </w:pPr>
      <w:r>
        <w:rPr>
          <w:rFonts w:hint="eastAsia" w:ascii="仿宋_GB2312" w:hAnsi="仿宋_GB2312" w:eastAsia="仿宋_GB2312" w:cs="仿宋_GB2312"/>
          <w:b/>
          <w:sz w:val="28"/>
          <w:szCs w:val="28"/>
          <w:highlight w:val="none"/>
          <w:lang w:val="en-US" w:eastAsia="zh-CN"/>
        </w:rPr>
        <w:t>3、售后承诺函（投标人自拟）</w:t>
      </w:r>
    </w:p>
    <w:p>
      <w:pPr>
        <w:pStyle w:val="5"/>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bCs/>
          <w:sz w:val="28"/>
          <w:szCs w:val="28"/>
          <w:highlight w:val="none"/>
        </w:rPr>
      </w:pPr>
      <w:bookmarkStart w:id="268" w:name="_Toc32188"/>
      <w:bookmarkStart w:id="269" w:name="_Toc27623"/>
      <w:r>
        <w:rPr>
          <w:rFonts w:hint="eastAsia" w:ascii="黑体" w:hAnsi="黑体" w:eastAsia="黑体" w:cs="黑体"/>
          <w:b w:val="0"/>
          <w:bCs w:val="0"/>
          <w:sz w:val="28"/>
          <w:szCs w:val="28"/>
          <w:highlight w:val="none"/>
          <w:lang w:val="en-US" w:eastAsia="zh-CN"/>
        </w:rPr>
        <w:t>七</w:t>
      </w:r>
      <w:r>
        <w:rPr>
          <w:rFonts w:hint="eastAsia" w:ascii="黑体" w:hAnsi="黑体" w:eastAsia="黑体" w:cs="黑体"/>
          <w:b w:val="0"/>
          <w:bCs w:val="0"/>
          <w:sz w:val="28"/>
          <w:szCs w:val="28"/>
          <w:highlight w:val="none"/>
        </w:rPr>
        <w:t>、其他内容</w:t>
      </w:r>
      <w:bookmarkEnd w:id="268"/>
      <w:bookmarkEnd w:id="269"/>
    </w:p>
    <w:p>
      <w:pPr>
        <w:pStyle w:val="5"/>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(谈判文件要求提交的其他文件或响应人认为需补充说明的资料)</w:t>
      </w:r>
      <w:bookmarkEnd w:id="35"/>
      <w:bookmarkEnd w:id="229"/>
      <w:bookmarkEnd w:id="230"/>
      <w:bookmarkEnd w:id="231"/>
      <w:bookmarkEnd w:id="238"/>
      <w:bookmarkEnd w:id="262"/>
    </w:p>
    <w:p>
      <w:pPr>
        <w:pStyle w:val="5"/>
        <w:keepNext/>
        <w:keepLines/>
        <w:pageBreakBefore/>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八、二次报价单</w:t>
      </w:r>
    </w:p>
    <w:p>
      <w:pPr>
        <w:pStyle w:val="10"/>
        <w:spacing w:line="600" w:lineRule="exac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四川能投广元燃气发电有限公司：</w:t>
      </w:r>
    </w:p>
    <w:p>
      <w:pPr>
        <w:pStyle w:val="10"/>
        <w:spacing w:line="600" w:lineRule="exact"/>
        <w:ind w:firstLine="480"/>
        <w:rPr>
          <w:rFonts w:hint="eastAsia" w:ascii="仿宋_GB2312" w:hAnsi="仿宋_GB2312" w:eastAsia="仿宋_GB2312" w:cs="仿宋_GB2312"/>
          <w:kern w:val="2"/>
          <w:sz w:val="28"/>
          <w:szCs w:val="28"/>
          <w:highlight w:val="none"/>
          <w:lang w:val="en-US" w:eastAsia="zh-CN" w:bidi="ar-SA"/>
        </w:rPr>
      </w:pPr>
    </w:p>
    <w:p>
      <w:pPr>
        <w:pStyle w:val="10"/>
        <w:spacing w:line="600" w:lineRule="exact"/>
        <w:ind w:firstLine="48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根据谈判会议上的各项要求，本人经请示单位领导同意并代表本单位对谈判项目作出最终报价（人民币）如下：</w:t>
      </w:r>
    </w:p>
    <w:p>
      <w:pPr>
        <w:shd w:val="clear"/>
        <w:rPr>
          <w:rFonts w:hint="eastAsia" w:ascii="仿宋_GB2312" w:hAnsi="仿宋_GB2312" w:eastAsia="仿宋_GB2312" w:cs="仿宋_GB2312"/>
          <w:kern w:val="2"/>
          <w:sz w:val="28"/>
          <w:szCs w:val="28"/>
          <w:highlight w:val="none"/>
          <w:lang w:val="en-US" w:eastAsia="zh-CN" w:bidi="ar-SA"/>
        </w:rPr>
      </w:pPr>
    </w:p>
    <w:tbl>
      <w:tblPr>
        <w:tblStyle w:val="17"/>
        <w:tblW w:w="8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69"/>
        <w:gridCol w:w="352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69" w:type="dxa"/>
            <w:shd w:val="clear" w:color="auto" w:fill="auto"/>
            <w:noWrap w:val="0"/>
            <w:vAlign w:val="center"/>
          </w:tcPr>
          <w:p>
            <w:pPr>
              <w:shd w:val="clear"/>
              <w:spacing w:line="360" w:lineRule="exact"/>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报价项目</w:t>
            </w:r>
          </w:p>
        </w:tc>
        <w:tc>
          <w:tcPr>
            <w:tcW w:w="3525"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eastAsia"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报价（含税）</w:t>
            </w:r>
          </w:p>
        </w:tc>
        <w:tc>
          <w:tcPr>
            <w:tcW w:w="2464"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eastAsia" w:ascii="宋体" w:hAnsi="宋体" w:cs="宋体"/>
                <w:b/>
                <w:bCs/>
                <w:sz w:val="20"/>
                <w:szCs w:val="20"/>
                <w:highlight w:val="none"/>
                <w:lang w:val="en-US" w:eastAsia="zh-CN"/>
              </w:rPr>
            </w:pPr>
            <w:r>
              <w:rPr>
                <w:rFonts w:hint="eastAsia" w:ascii="宋体" w:hAnsi="宋体" w:cs="宋体"/>
                <w:b/>
                <w:bCs/>
                <w:sz w:val="20"/>
                <w:szCs w:val="20"/>
                <w:highlight w:val="none"/>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shd w:val="clear" w:color="auto" w:fill="auto"/>
            <w:noWrap w:val="0"/>
            <w:vAlign w:val="center"/>
          </w:tcPr>
          <w:p>
            <w:pPr>
              <w:shd w:val="clear"/>
              <w:spacing w:line="360" w:lineRule="exact"/>
              <w:rPr>
                <w:rFonts w:ascii="宋体" w:hAnsi="宋体" w:cs="宋体"/>
                <w:sz w:val="20"/>
                <w:szCs w:val="20"/>
                <w:highlight w:val="none"/>
              </w:rPr>
            </w:pPr>
            <w:r>
              <w:rPr>
                <w:rFonts w:ascii="宋体" w:hAnsi="宋体" w:cs="宋体"/>
                <w:sz w:val="20"/>
                <w:szCs w:val="20"/>
                <w:highlight w:val="none"/>
              </w:rPr>
              <w:t>1.补充医疗保险人均保费报价</w:t>
            </w:r>
          </w:p>
        </w:tc>
        <w:tc>
          <w:tcPr>
            <w:tcW w:w="3525"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ascii="宋体" w:hAnsi="宋体" w:cs="宋体"/>
                <w:sz w:val="20"/>
                <w:szCs w:val="20"/>
                <w:highlight w:val="none"/>
              </w:rPr>
            </w:pPr>
            <w:r>
              <w:rPr>
                <w:rFonts w:hint="eastAsia" w:ascii="宋体" w:hAnsi="宋体" w:cs="宋体"/>
                <w:sz w:val="20"/>
                <w:szCs w:val="20"/>
                <w:highlight w:val="none"/>
                <w:lang w:val="en-US" w:eastAsia="zh-CN"/>
              </w:rPr>
              <w:t>高管</w:t>
            </w:r>
            <w:r>
              <w:rPr>
                <w:rFonts w:hint="eastAsia" w:ascii="宋体" w:hAnsi="宋体" w:eastAsia="宋体" w:cs="宋体"/>
                <w:sz w:val="20"/>
                <w:szCs w:val="20"/>
                <w:highlight w:val="none"/>
                <w:lang w:val="en-US" w:eastAsia="zh-CN"/>
              </w:rPr>
              <w:t>：人民币</w:t>
            </w:r>
            <w:r>
              <w:rPr>
                <w:rFonts w:hint="eastAsia" w:ascii="宋体" w:hAnsi="宋体" w:eastAsia="宋体" w:cs="宋体"/>
                <w:sz w:val="20"/>
                <w:szCs w:val="20"/>
                <w:highlight w:val="none"/>
                <w:u w:val="single"/>
                <w:lang w:val="en-US" w:eastAsia="zh-CN"/>
              </w:rPr>
              <w:t xml:space="preserve"> </w:t>
            </w:r>
            <w:r>
              <w:rPr>
                <w:rFonts w:hint="eastAsia" w:ascii="宋体" w:hAnsi="宋体" w:cs="宋体"/>
                <w:sz w:val="20"/>
                <w:szCs w:val="20"/>
                <w:highlight w:val="none"/>
                <w:u w:val="single"/>
                <w:lang w:val="en-US" w:eastAsia="zh-CN"/>
              </w:rPr>
              <w:t xml:space="preserve">   </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rPr>
              <w:t>元/人</w:t>
            </w:r>
            <w:r>
              <w:rPr>
                <w:rFonts w:hint="eastAsia" w:ascii="宋体" w:hAnsi="宋体" w:cs="宋体"/>
                <w:sz w:val="20"/>
                <w:szCs w:val="20"/>
                <w:highlight w:val="none"/>
                <w:lang w:val="en-US" w:eastAsia="zh-CN"/>
              </w:rPr>
              <w:t>.</w:t>
            </w:r>
            <w:r>
              <w:rPr>
                <w:rFonts w:hint="eastAsia" w:ascii="宋体" w:hAnsi="宋体" w:eastAsia="宋体" w:cs="宋体"/>
                <w:sz w:val="20"/>
                <w:szCs w:val="20"/>
                <w:highlight w:val="none"/>
              </w:rPr>
              <w:t>年</w:t>
            </w:r>
          </w:p>
        </w:tc>
        <w:tc>
          <w:tcPr>
            <w:tcW w:w="2464"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default"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69" w:type="dxa"/>
            <w:vMerge w:val="continue"/>
            <w:shd w:val="clear" w:color="auto" w:fill="auto"/>
            <w:noWrap w:val="0"/>
            <w:vAlign w:val="center"/>
          </w:tcPr>
          <w:p>
            <w:pPr>
              <w:shd w:val="clear"/>
              <w:spacing w:line="360" w:lineRule="exact"/>
              <w:rPr>
                <w:rFonts w:ascii="宋体" w:hAnsi="宋体" w:cs="宋体"/>
                <w:sz w:val="20"/>
                <w:szCs w:val="20"/>
                <w:highlight w:val="none"/>
              </w:rPr>
            </w:pPr>
          </w:p>
        </w:tc>
        <w:tc>
          <w:tcPr>
            <w:tcW w:w="3525"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ascii="宋体" w:hAnsi="宋体" w:cs="宋体"/>
                <w:sz w:val="20"/>
                <w:szCs w:val="20"/>
                <w:highlight w:val="none"/>
              </w:rPr>
            </w:pPr>
            <w:r>
              <w:rPr>
                <w:rFonts w:hint="eastAsia" w:ascii="宋体" w:hAnsi="宋体" w:cs="宋体"/>
                <w:sz w:val="20"/>
                <w:szCs w:val="20"/>
                <w:highlight w:val="none"/>
                <w:lang w:val="en-US" w:eastAsia="zh-CN"/>
              </w:rPr>
              <w:t>中层</w:t>
            </w:r>
            <w:r>
              <w:rPr>
                <w:rFonts w:hint="eastAsia" w:ascii="宋体" w:hAnsi="宋体" w:eastAsia="宋体" w:cs="宋体"/>
                <w:sz w:val="20"/>
                <w:szCs w:val="20"/>
                <w:highlight w:val="none"/>
                <w:lang w:val="en-US" w:eastAsia="zh-CN"/>
              </w:rPr>
              <w:t>：人民币</w:t>
            </w:r>
            <w:r>
              <w:rPr>
                <w:rFonts w:hint="eastAsia" w:ascii="宋体" w:hAnsi="宋体" w:eastAsia="宋体" w:cs="宋体"/>
                <w:sz w:val="20"/>
                <w:szCs w:val="20"/>
                <w:highlight w:val="none"/>
                <w:u w:val="single"/>
                <w:lang w:val="en-US" w:eastAsia="zh-CN"/>
              </w:rPr>
              <w:t xml:space="preserve"> </w:t>
            </w:r>
            <w:r>
              <w:rPr>
                <w:rFonts w:hint="eastAsia" w:ascii="宋体" w:hAnsi="宋体" w:cs="宋体"/>
                <w:sz w:val="20"/>
                <w:szCs w:val="20"/>
                <w:highlight w:val="none"/>
                <w:u w:val="single"/>
                <w:lang w:val="en-US" w:eastAsia="zh-CN"/>
              </w:rPr>
              <w:t xml:space="preserve">   </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元/人</w:t>
            </w:r>
            <w:r>
              <w:rPr>
                <w:rFonts w:hint="eastAsia" w:ascii="宋体" w:hAnsi="宋体" w:cs="宋体"/>
                <w:sz w:val="20"/>
                <w:szCs w:val="20"/>
                <w:highlight w:val="none"/>
                <w:lang w:val="en-US" w:eastAsia="zh-CN"/>
              </w:rPr>
              <w:t>.</w:t>
            </w:r>
            <w:r>
              <w:rPr>
                <w:rFonts w:hint="eastAsia" w:ascii="宋体" w:hAnsi="宋体" w:eastAsia="宋体" w:cs="宋体"/>
                <w:sz w:val="20"/>
                <w:szCs w:val="20"/>
                <w:highlight w:val="none"/>
                <w:lang w:val="en-US" w:eastAsia="zh-CN"/>
              </w:rPr>
              <w:t>年</w:t>
            </w:r>
          </w:p>
        </w:tc>
        <w:tc>
          <w:tcPr>
            <w:tcW w:w="2464"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eastAsia"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69" w:type="dxa"/>
            <w:vMerge w:val="continue"/>
            <w:shd w:val="clear" w:color="auto" w:fill="auto"/>
            <w:noWrap w:val="0"/>
            <w:vAlign w:val="center"/>
          </w:tcPr>
          <w:p>
            <w:pPr>
              <w:shd w:val="clear"/>
              <w:spacing w:line="360" w:lineRule="exact"/>
              <w:rPr>
                <w:rFonts w:ascii="宋体" w:hAnsi="宋体" w:cs="宋体"/>
                <w:sz w:val="20"/>
                <w:szCs w:val="20"/>
                <w:highlight w:val="none"/>
              </w:rPr>
            </w:pPr>
          </w:p>
        </w:tc>
        <w:tc>
          <w:tcPr>
            <w:tcW w:w="3525"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eastAsia" w:ascii="宋体" w:hAnsi="宋体" w:eastAsia="宋体" w:cs="宋体"/>
                <w:sz w:val="20"/>
                <w:szCs w:val="20"/>
                <w:highlight w:val="none"/>
                <w:lang w:val="en-US" w:eastAsia="zh-CN"/>
              </w:rPr>
            </w:pPr>
            <w:r>
              <w:rPr>
                <w:rFonts w:hint="eastAsia" w:ascii="宋体" w:hAnsi="宋体" w:cs="宋体"/>
                <w:sz w:val="20"/>
                <w:szCs w:val="20"/>
                <w:highlight w:val="none"/>
                <w:lang w:val="en-US" w:eastAsia="zh-CN"/>
              </w:rPr>
              <w:t>员工</w:t>
            </w:r>
            <w:r>
              <w:rPr>
                <w:rFonts w:hint="eastAsia" w:ascii="宋体" w:hAnsi="宋体" w:eastAsia="宋体" w:cs="宋体"/>
                <w:sz w:val="20"/>
                <w:szCs w:val="20"/>
                <w:highlight w:val="none"/>
                <w:lang w:val="en-US" w:eastAsia="zh-CN"/>
              </w:rPr>
              <w:t>：人民币</w:t>
            </w:r>
            <w:r>
              <w:rPr>
                <w:rFonts w:hint="eastAsia" w:ascii="宋体" w:hAnsi="宋体" w:eastAsia="宋体" w:cs="宋体"/>
                <w:sz w:val="20"/>
                <w:szCs w:val="20"/>
                <w:highlight w:val="none"/>
                <w:u w:val="single"/>
                <w:lang w:val="en-US" w:eastAsia="zh-CN"/>
              </w:rPr>
              <w:t xml:space="preserve"> </w:t>
            </w:r>
            <w:r>
              <w:rPr>
                <w:rFonts w:hint="eastAsia" w:ascii="宋体" w:hAnsi="宋体" w:cs="宋体"/>
                <w:sz w:val="20"/>
                <w:szCs w:val="20"/>
                <w:highlight w:val="none"/>
                <w:u w:val="single"/>
                <w:lang w:val="en-US" w:eastAsia="zh-CN"/>
              </w:rPr>
              <w:t xml:space="preserve">   </w:t>
            </w:r>
            <w:r>
              <w:rPr>
                <w:rFonts w:hint="eastAsia" w:ascii="宋体" w:hAnsi="宋体" w:eastAsia="宋体" w:cs="宋体"/>
                <w:sz w:val="20"/>
                <w:szCs w:val="20"/>
                <w:highlight w:val="none"/>
                <w:u w:val="single"/>
                <w:lang w:val="en-US" w:eastAsia="zh-CN"/>
              </w:rPr>
              <w:t xml:space="preserve">  </w:t>
            </w:r>
            <w:r>
              <w:rPr>
                <w:rFonts w:hint="eastAsia" w:ascii="宋体" w:hAnsi="宋体" w:eastAsia="宋体" w:cs="宋体"/>
                <w:sz w:val="20"/>
                <w:szCs w:val="20"/>
                <w:highlight w:val="none"/>
                <w:lang w:val="en-US" w:eastAsia="zh-CN"/>
              </w:rPr>
              <w:t>元/人</w:t>
            </w:r>
            <w:r>
              <w:rPr>
                <w:rFonts w:hint="eastAsia" w:ascii="宋体" w:hAnsi="宋体" w:cs="宋体"/>
                <w:sz w:val="20"/>
                <w:szCs w:val="20"/>
                <w:highlight w:val="none"/>
                <w:lang w:val="en-US" w:eastAsia="zh-CN"/>
              </w:rPr>
              <w:t>.</w:t>
            </w:r>
            <w:r>
              <w:rPr>
                <w:rFonts w:hint="eastAsia" w:ascii="宋体" w:hAnsi="宋体" w:eastAsia="宋体" w:cs="宋体"/>
                <w:sz w:val="20"/>
                <w:szCs w:val="20"/>
                <w:highlight w:val="none"/>
                <w:lang w:val="en-US" w:eastAsia="zh-CN"/>
              </w:rPr>
              <w:t>年</w:t>
            </w:r>
          </w:p>
        </w:tc>
        <w:tc>
          <w:tcPr>
            <w:tcW w:w="2464" w:type="dxa"/>
            <w:shd w:val="clear" w:color="auto" w:fill="auto"/>
            <w:noWrap w:val="0"/>
            <w:vAlign w:val="center"/>
          </w:tcPr>
          <w:p>
            <w:pPr>
              <w:keepNext w:val="0"/>
              <w:keepLines w:val="0"/>
              <w:pageBreakBefore w:val="0"/>
              <w:widowControl w:val="0"/>
              <w:shd w:val="clear"/>
              <w:kinsoku/>
              <w:wordWrap/>
              <w:overflowPunct/>
              <w:topLinePunct w:val="0"/>
              <w:autoSpaceDE/>
              <w:autoSpaceDN/>
              <w:bidi w:val="0"/>
              <w:snapToGrid/>
              <w:spacing w:line="360" w:lineRule="exact"/>
              <w:jc w:val="center"/>
              <w:rPr>
                <w:rFonts w:hint="eastAsia" w:ascii="宋体" w:hAnsi="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69" w:type="dxa"/>
            <w:tcBorders>
              <w:bottom w:val="single" w:color="auto" w:sz="4" w:space="0"/>
            </w:tcBorders>
            <w:shd w:val="clear" w:color="auto" w:fill="auto"/>
            <w:noWrap w:val="0"/>
            <w:vAlign w:val="center"/>
          </w:tcPr>
          <w:p>
            <w:pPr>
              <w:shd w:val="clear"/>
              <w:spacing w:line="360" w:lineRule="exact"/>
              <w:rPr>
                <w:rFonts w:ascii="宋体" w:hAnsi="宋体" w:cs="宋体"/>
                <w:sz w:val="20"/>
                <w:szCs w:val="20"/>
                <w:highlight w:val="none"/>
              </w:rPr>
            </w:pPr>
            <w:r>
              <w:rPr>
                <w:rFonts w:hint="eastAsia" w:ascii="宋体" w:hAnsi="宋体" w:cs="宋体"/>
                <w:sz w:val="20"/>
                <w:szCs w:val="20"/>
                <w:highlight w:val="none"/>
                <w:lang w:val="en-US" w:eastAsia="zh-CN"/>
              </w:rPr>
              <w:t>2</w:t>
            </w:r>
            <w:r>
              <w:rPr>
                <w:rFonts w:ascii="宋体" w:hAnsi="宋体" w:cs="宋体"/>
                <w:sz w:val="20"/>
                <w:szCs w:val="20"/>
                <w:highlight w:val="none"/>
              </w:rPr>
              <w:t>.</w:t>
            </w:r>
            <w:r>
              <w:rPr>
                <w:rFonts w:hint="eastAsia" w:ascii="宋体" w:hAnsi="宋体" w:cs="宋体"/>
                <w:sz w:val="20"/>
                <w:szCs w:val="20"/>
                <w:highlight w:val="none"/>
                <w:lang w:val="en-US" w:eastAsia="zh-CN"/>
              </w:rPr>
              <w:t>健康委托管理方案</w:t>
            </w:r>
          </w:p>
        </w:tc>
        <w:tc>
          <w:tcPr>
            <w:tcW w:w="3525" w:type="dxa"/>
            <w:tcBorders>
              <w:bottom w:val="single" w:color="auto" w:sz="4" w:space="0"/>
            </w:tcBorders>
            <w:shd w:val="clear" w:color="auto" w:fill="auto"/>
            <w:noWrap w:val="0"/>
            <w:vAlign w:val="center"/>
          </w:tcPr>
          <w:p>
            <w:pPr>
              <w:shd w:val="clear"/>
              <w:spacing w:line="360" w:lineRule="exact"/>
              <w:ind w:firstLine="600" w:firstLineChars="300"/>
              <w:jc w:val="both"/>
              <w:rPr>
                <w:rFonts w:hint="default" w:ascii="宋体" w:hAnsi="宋体" w:cs="宋体"/>
                <w:sz w:val="20"/>
                <w:szCs w:val="20"/>
                <w:highlight w:val="none"/>
                <w:u w:val="single"/>
                <w:lang w:val="en-US"/>
              </w:rPr>
            </w:pPr>
            <w:r>
              <w:rPr>
                <w:rFonts w:hint="eastAsia" w:ascii="宋体" w:hAnsi="宋体" w:cs="宋体"/>
                <w:sz w:val="20"/>
                <w:szCs w:val="20"/>
                <w:highlight w:val="none"/>
                <w:lang w:val="en-US" w:eastAsia="zh-CN"/>
              </w:rPr>
              <w:t>管理费：</w:t>
            </w:r>
            <w:r>
              <w:rPr>
                <w:rFonts w:hint="eastAsia" w:ascii="宋体" w:hAnsi="宋体" w:cs="宋体"/>
                <w:sz w:val="20"/>
                <w:szCs w:val="20"/>
                <w:highlight w:val="none"/>
                <w:u w:val="single"/>
                <w:lang w:val="en-US" w:eastAsia="zh-CN"/>
              </w:rPr>
              <w:t xml:space="preserve">       </w:t>
            </w:r>
          </w:p>
        </w:tc>
        <w:tc>
          <w:tcPr>
            <w:tcW w:w="2464" w:type="dxa"/>
            <w:tcBorders>
              <w:bottom w:val="single" w:color="auto" w:sz="4" w:space="0"/>
            </w:tcBorders>
            <w:shd w:val="clear" w:color="auto" w:fill="auto"/>
            <w:noWrap w:val="0"/>
            <w:vAlign w:val="center"/>
          </w:tcPr>
          <w:p>
            <w:pPr>
              <w:shd w:val="clear"/>
              <w:spacing w:line="360" w:lineRule="exact"/>
              <w:jc w:val="center"/>
              <w:rPr>
                <w:rFonts w:hint="default" w:ascii="宋体" w:hAnsi="宋体" w:eastAsia="宋体" w:cs="宋体"/>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158" w:type="dxa"/>
            <w:gridSpan w:val="3"/>
            <w:tcBorders>
              <w:top w:val="single" w:color="auto" w:sz="4" w:space="0"/>
              <w:left w:val="nil"/>
              <w:bottom w:val="nil"/>
              <w:right w:val="nil"/>
            </w:tcBorders>
            <w:shd w:val="clear" w:color="auto" w:fill="auto"/>
            <w:noWrap w:val="0"/>
            <w:vAlign w:val="center"/>
          </w:tcPr>
          <w:p>
            <w:pPr>
              <w:keepNext w:val="0"/>
              <w:keepLines w:val="0"/>
              <w:pageBreakBefore w:val="0"/>
              <w:widowControl w:val="0"/>
              <w:shd w:val="clea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cs="宋体"/>
                <w:sz w:val="20"/>
                <w:szCs w:val="20"/>
                <w:highlight w:val="none"/>
                <w:lang w:val="en-US" w:eastAsia="zh-CN"/>
              </w:rPr>
            </w:pPr>
            <w:r>
              <w:rPr>
                <w:rFonts w:hint="eastAsia" w:ascii="宋体" w:hAnsi="宋体" w:eastAsia="宋体" w:cs="宋体"/>
                <w:b/>
                <w:bCs/>
                <w:sz w:val="21"/>
                <w:szCs w:val="21"/>
                <w:highlight w:val="none"/>
                <w:lang w:val="en-US" w:eastAsia="zh-CN"/>
              </w:rPr>
              <w:t>备注：</w:t>
            </w:r>
            <w:r>
              <w:rPr>
                <w:rFonts w:hint="eastAsia" w:ascii="宋体" w:hAnsi="宋体" w:eastAsia="宋体" w:cs="宋体"/>
                <w:sz w:val="21"/>
                <w:szCs w:val="21"/>
                <w:highlight w:val="none"/>
                <w:lang w:val="en-US" w:eastAsia="zh-CN"/>
              </w:rPr>
              <w:t>凡报价超过最高限价的，视为废标。</w:t>
            </w:r>
          </w:p>
        </w:tc>
      </w:tr>
    </w:tbl>
    <w:p>
      <w:pPr>
        <w:pStyle w:val="11"/>
        <w:shd w:val="clear"/>
        <w:rPr>
          <w:rFonts w:hint="eastAsia"/>
          <w:lang w:val="en-US" w:eastAsia="zh-CN"/>
        </w:rPr>
      </w:pPr>
    </w:p>
    <w:p>
      <w:pPr>
        <w:pStyle w:val="10"/>
        <w:shd w:val="clear"/>
        <w:spacing w:line="600" w:lineRule="exact"/>
        <w:ind w:firstLine="48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相关补充说明：</w:t>
      </w:r>
    </w:p>
    <w:p>
      <w:pPr>
        <w:pStyle w:val="10"/>
        <w:ind w:firstLine="480"/>
        <w:rPr>
          <w:rFonts w:hint="eastAsia" w:ascii="仿宋_GB2312" w:hAnsi="仿宋_GB2312" w:eastAsia="仿宋_GB2312" w:cs="仿宋_GB2312"/>
          <w:kern w:val="2"/>
          <w:sz w:val="28"/>
          <w:szCs w:val="28"/>
          <w:highlight w:val="none"/>
          <w:lang w:val="en-US" w:eastAsia="zh-CN" w:bidi="ar-SA"/>
        </w:rPr>
      </w:pPr>
    </w:p>
    <w:p>
      <w:pPr>
        <w:pStyle w:val="10"/>
        <w:ind w:firstLine="480"/>
        <w:rPr>
          <w:rFonts w:hint="eastAsia" w:ascii="仿宋_GB2312" w:hAnsi="仿宋_GB2312" w:eastAsia="仿宋_GB2312" w:cs="仿宋_GB2312"/>
          <w:kern w:val="2"/>
          <w:sz w:val="28"/>
          <w:szCs w:val="28"/>
          <w:highlight w:val="none"/>
          <w:lang w:val="en-US" w:eastAsia="zh-CN" w:bidi="ar-SA"/>
        </w:rPr>
      </w:pPr>
    </w:p>
    <w:p>
      <w:pPr>
        <w:pStyle w:val="10"/>
        <w:ind w:firstLine="480"/>
        <w:rPr>
          <w:rFonts w:hint="eastAsia" w:ascii="仿宋_GB2312" w:hAnsi="仿宋_GB2312" w:eastAsia="仿宋_GB2312" w:cs="仿宋_GB2312"/>
          <w:kern w:val="2"/>
          <w:sz w:val="28"/>
          <w:szCs w:val="28"/>
          <w:highlight w:val="none"/>
          <w:lang w:val="en-US" w:eastAsia="zh-CN" w:bidi="ar-SA"/>
        </w:rPr>
      </w:pPr>
    </w:p>
    <w:p>
      <w:pPr>
        <w:pStyle w:val="10"/>
        <w:tabs>
          <w:tab w:val="left" w:pos="3878"/>
          <w:tab w:val="left" w:pos="4958"/>
          <w:tab w:val="left" w:pos="6158"/>
          <w:tab w:val="left" w:pos="6278"/>
          <w:tab w:val="left" w:pos="6333"/>
        </w:tabs>
        <w:spacing w:before="167" w:line="500" w:lineRule="exact"/>
        <w:ind w:right="190" w:hanging="14"/>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响应人名称：             (盖章) </w:t>
      </w:r>
    </w:p>
    <w:p>
      <w:pPr>
        <w:pStyle w:val="10"/>
        <w:tabs>
          <w:tab w:val="left" w:pos="3878"/>
          <w:tab w:val="left" w:pos="4958"/>
          <w:tab w:val="left" w:pos="6158"/>
          <w:tab w:val="left" w:pos="6278"/>
          <w:tab w:val="left" w:pos="6333"/>
        </w:tabs>
        <w:spacing w:before="167" w:line="500" w:lineRule="exact"/>
        <w:ind w:right="-50" w:hanging="14"/>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 xml:space="preserve">法定代表人或委托代理人： </w:t>
      </w:r>
      <w:r>
        <w:rPr>
          <w:rFonts w:hint="eastAsia" w:ascii="仿宋_GB2312" w:hAnsi="仿宋_GB2312" w:eastAsia="仿宋_GB2312" w:cs="仿宋_GB2312"/>
          <w:kern w:val="2"/>
          <w:sz w:val="28"/>
          <w:szCs w:val="28"/>
          <w:highlight w:val="none"/>
          <w:lang w:val="en-US" w:eastAsia="zh-CN" w:bidi="ar-SA"/>
        </w:rPr>
        <w:tab/>
      </w:r>
      <w:r>
        <w:rPr>
          <w:rFonts w:hint="eastAsia" w:ascii="仿宋_GB2312" w:hAnsi="仿宋_GB2312" w:eastAsia="仿宋_GB2312" w:cs="仿宋_GB2312"/>
          <w:kern w:val="2"/>
          <w:sz w:val="28"/>
          <w:szCs w:val="28"/>
          <w:highlight w:val="none"/>
          <w:lang w:val="en-US" w:eastAsia="zh-CN" w:bidi="ar-SA"/>
        </w:rPr>
        <w:t xml:space="preserve">     (签字) </w:t>
      </w:r>
    </w:p>
    <w:p>
      <w:pPr>
        <w:pStyle w:val="10"/>
        <w:tabs>
          <w:tab w:val="left" w:pos="3878"/>
          <w:tab w:val="left" w:pos="4958"/>
          <w:tab w:val="left" w:pos="6158"/>
          <w:tab w:val="left" w:pos="6278"/>
          <w:tab w:val="left" w:pos="6333"/>
        </w:tabs>
        <w:spacing w:before="167" w:line="500" w:lineRule="exact"/>
        <w:ind w:right="3125" w:hanging="14"/>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日      期：    年    月   日</w:t>
      </w:r>
    </w:p>
    <w:p>
      <w:pPr>
        <w:pStyle w:val="6"/>
        <w:ind w:left="420" w:firstLine="0" w:firstLineChars="0"/>
        <w:rPr>
          <w:rFonts w:hint="eastAsia" w:ascii="仿宋" w:hAnsi="仿宋" w:eastAsia="仿宋" w:cs="仿宋"/>
          <w:sz w:val="32"/>
          <w:szCs w:val="32"/>
        </w:rPr>
      </w:pPr>
    </w:p>
    <w:p>
      <w:pPr>
        <w:pStyle w:val="10"/>
        <w:spacing w:line="600" w:lineRule="exact"/>
        <w:rPr>
          <w:rFonts w:hint="eastAsia" w:ascii="仿宋" w:hAnsi="仿宋" w:eastAsia="仿宋" w:cs="仿宋"/>
          <w:sz w:val="24"/>
          <w:szCs w:val="24"/>
        </w:rPr>
      </w:pPr>
      <w:r>
        <w:rPr>
          <w:rFonts w:hint="eastAsia" w:ascii="仿宋" w:hAnsi="仿宋" w:eastAsia="仿宋" w:cs="仿宋"/>
          <w:sz w:val="24"/>
          <w:szCs w:val="24"/>
        </w:rPr>
        <w:t>注：二次报价单须单独封装，可递交谈判响应文件前填写也可现场填写。</w:t>
      </w:r>
    </w:p>
    <w:sectPr>
      <w:footerReference r:id="rId19" w:type="default"/>
      <w:pgSz w:w="11907" w:h="16840"/>
      <w:pgMar w:top="1440" w:right="1474" w:bottom="1440" w:left="1474" w:header="851" w:footer="992" w:gutter="0"/>
      <w:pgNumType w:fmt="decimal"/>
      <w:cols w:space="72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separate"/>
    </w:r>
    <w:r>
      <w:rPr>
        <w:rStyle w:val="20"/>
      </w:rPr>
      <w:t>2</w:t>
    </w:r>
    <w:r>
      <w:fldChar w:fldCharType="end"/>
    </w:r>
  </w:p>
  <w:p>
    <w:pPr>
      <w:pStyle w:val="1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jc w:val="cente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eastAsia="宋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35</w:t>
                    </w:r>
                    <w:r>
                      <w:fldChar w:fldCharType="end"/>
                    </w:r>
                  </w:p>
                </w:txbxContent>
              </v:textbox>
            </v:shape>
          </w:pict>
        </mc:Fallback>
      </mc:AlternateContent>
    </w:r>
  </w:p>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0"/>
      </w:rPr>
    </w:pPr>
    <w:r>
      <w:fldChar w:fldCharType="begin"/>
    </w:r>
    <w:r>
      <w:rPr>
        <w:rStyle w:val="20"/>
      </w:rPr>
      <w:instrText xml:space="preserve">PAGE  </w:instrText>
    </w:r>
    <w:r>
      <w:fldChar w:fldCharType="separate"/>
    </w:r>
    <w:r>
      <w:rPr>
        <w:rStyle w:val="20"/>
      </w:rPr>
      <w:t>92</w:t>
    </w:r>
    <w:r>
      <w:fldChar w:fldCharType="end"/>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宋体" w:hAnsi="宋体"/>
        <w:szCs w:val="28"/>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黑体" w:hAnsi="Times New Roman" w:eastAsia="黑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251B97E"/>
    <w:multiLevelType w:val="singleLevel"/>
    <w:tmpl w:val="4251B97E"/>
    <w:lvl w:ilvl="0" w:tentative="0">
      <w:start w:val="4"/>
      <w:numFmt w:val="chineseCounting"/>
      <w:suff w:val="nothing"/>
      <w:lvlText w:val="%1、"/>
      <w:lvlJc w:val="left"/>
      <w:rPr>
        <w:rFonts w:hint="eastAsia"/>
      </w:rPr>
    </w:lvl>
  </w:abstractNum>
  <w:abstractNum w:abstractNumId="2">
    <w:nsid w:val="55675B39"/>
    <w:multiLevelType w:val="singleLevel"/>
    <w:tmpl w:val="55675B39"/>
    <w:lvl w:ilvl="0" w:tentative="0">
      <w:start w:val="2"/>
      <w:numFmt w:val="decimal"/>
      <w:suff w:val="nothing"/>
      <w:lvlText w:val="%1、"/>
      <w:lvlJc w:val="left"/>
    </w:lvl>
  </w:abstractNum>
  <w:abstractNum w:abstractNumId="3">
    <w:nsid w:val="702A4DD6"/>
    <w:multiLevelType w:val="singleLevel"/>
    <w:tmpl w:val="702A4DD6"/>
    <w:lvl w:ilvl="0" w:tentative="0">
      <w:start w:val="3"/>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GRmNTkzMzZjMTIzMmI2MWJmNmE4YmUwOTIxZTEifQ=="/>
  </w:docVars>
  <w:rsids>
    <w:rsidRoot w:val="5A1D7123"/>
    <w:rsid w:val="05D51CC4"/>
    <w:rsid w:val="0E2140FF"/>
    <w:rsid w:val="0E5D2C8F"/>
    <w:rsid w:val="10E10394"/>
    <w:rsid w:val="19BE6000"/>
    <w:rsid w:val="26646474"/>
    <w:rsid w:val="2846225E"/>
    <w:rsid w:val="28B74DC4"/>
    <w:rsid w:val="2B4830F6"/>
    <w:rsid w:val="2FE61AA5"/>
    <w:rsid w:val="341E0105"/>
    <w:rsid w:val="34DD32F1"/>
    <w:rsid w:val="3B3B178B"/>
    <w:rsid w:val="3E7B0564"/>
    <w:rsid w:val="5207779D"/>
    <w:rsid w:val="58AB7C6A"/>
    <w:rsid w:val="5A1D7123"/>
    <w:rsid w:val="5A230D8D"/>
    <w:rsid w:val="5DFE628C"/>
    <w:rsid w:val="614C15F8"/>
    <w:rsid w:val="70D37307"/>
    <w:rsid w:val="711155EB"/>
    <w:rsid w:val="7BF92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20" w:after="120"/>
      <w:ind w:left="420" w:firstLine="210"/>
      <w:jc w:val="left"/>
    </w:pPr>
  </w:style>
  <w:style w:type="paragraph" w:styleId="3">
    <w:name w:val="Body Text Indent"/>
    <w:basedOn w:val="1"/>
    <w:qFormat/>
    <w:uiPriority w:val="0"/>
    <w:pPr>
      <w:ind w:firstLine="630"/>
    </w:pPr>
    <w:rPr>
      <w:sz w:val="32"/>
      <w:szCs w:val="20"/>
    </w:rPr>
  </w:style>
  <w:style w:type="paragraph" w:styleId="6">
    <w:name w:val="Normal Indent"/>
    <w:basedOn w:val="1"/>
    <w:qFormat/>
    <w:uiPriority w:val="0"/>
    <w:pPr>
      <w:ind w:firstLine="420" w:firstLineChars="200"/>
    </w:pPr>
  </w:style>
  <w:style w:type="paragraph" w:styleId="8">
    <w:name w:val="index 8"/>
    <w:basedOn w:val="1"/>
    <w:next w:val="1"/>
    <w:unhideWhenUsed/>
    <w:qFormat/>
    <w:uiPriority w:val="99"/>
    <w:pPr>
      <w:ind w:left="1400" w:leftChars="1400"/>
    </w:p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Plain Text"/>
    <w:basedOn w:val="1"/>
    <w:qFormat/>
    <w:uiPriority w:val="0"/>
    <w:rPr>
      <w:rFonts w:ascii="宋体" w:hAnsi="Courier New"/>
      <w:kern w:val="0"/>
      <w:szCs w:val="20"/>
    </w:rPr>
  </w:style>
  <w:style w:type="paragraph" w:styleId="12">
    <w:name w:val="Body Text Indent 2"/>
    <w:basedOn w:val="1"/>
    <w:qFormat/>
    <w:uiPriority w:val="0"/>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6">
    <w:name w:val="Title"/>
    <w:basedOn w:val="1"/>
    <w:next w:val="1"/>
    <w:qFormat/>
    <w:uiPriority w:val="10"/>
    <w:pPr>
      <w:spacing w:before="240" w:after="60"/>
      <w:jc w:val="center"/>
      <w:outlineLvl w:val="0"/>
    </w:pPr>
    <w:rPr>
      <w:rFonts w:ascii="Calibri Light" w:hAnsi="Calibri Light" w:cs="Times New Roman"/>
      <w:b/>
      <w:bCs/>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unhideWhenUsed/>
    <w:qFormat/>
    <w:uiPriority w:val="99"/>
    <w:rPr>
      <w:color w:val="0000FF"/>
      <w:u w:val="single"/>
    </w:rPr>
  </w:style>
  <w:style w:type="paragraph" w:customStyle="1" w:styleId="22">
    <w:name w:val="Default"/>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23">
    <w:name w:val="WPSOffice手动目录 1"/>
    <w:qFormat/>
    <w:uiPriority w:val="0"/>
    <w:pPr>
      <w:ind w:leftChars="0"/>
    </w:pPr>
    <w:rPr>
      <w:rFonts w:ascii="Calibri" w:hAnsi="Calibri" w:eastAsia="宋体" w:cs="Times New Roman"/>
      <w:sz w:val="20"/>
      <w:szCs w:val="20"/>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样式 标题 2 + Times New Roman 四号 非加粗 段前: 5 磅 段后: 0 磅 行距: 固定值 20..."/>
    <w:basedOn w:val="4"/>
    <w:qFormat/>
    <w:uiPriority w:val="0"/>
    <w:pPr>
      <w:spacing w:before="100" w:after="0" w:line="400" w:lineRule="exact"/>
    </w:pPr>
    <w:rPr>
      <w:rFonts w:ascii="Times New Roman" w:hAnsi="Times New Roman"/>
      <w:b w:val="0"/>
      <w:kern w:val="0"/>
    </w:rPr>
  </w:style>
  <w:style w:type="paragraph" w:customStyle="1" w:styleId="26">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12585</Words>
  <Characters>13181</Characters>
  <Lines>0</Lines>
  <Paragraphs>0</Paragraphs>
  <TotalTime>106</TotalTime>
  <ScaleCrop>false</ScaleCrop>
  <LinksUpToDate>false</LinksUpToDate>
  <CharactersWithSpaces>14499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2022-09-21T03:12:00Z</dcterms:created>
  <dc:creator>Administrator</dc:creator>
  <cp:lastModifiedBy>徐佶</cp:lastModifiedBy>
  <dcterms:modified xsi:type="dcterms:W3CDTF">2022-10-11T01:50:44Z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D0780A90FFBC46199E526616856D5111</vt:lpwstr>
  </property>
</Properties>
</file>