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仿宋_GB2312" w:hAnsi="仿宋_GB2312" w:eastAsia="仿宋_GB2312" w:cs="仿宋_GB2312"/>
          <w:bCs/>
          <w:sz w:val="28"/>
          <w:szCs w:val="28"/>
          <w:highlight w:val="none"/>
        </w:rPr>
      </w:pPr>
      <w:bookmarkStart w:id="0" w:name="_Toc217446030"/>
      <w:bookmarkStart w:id="1" w:name="_Toc183682338"/>
      <w:r>
        <w:rPr>
          <w:rFonts w:hint="eastAsia" w:ascii="仿宋_GB2312" w:hAnsi="仿宋_GB2312" w:eastAsia="仿宋_GB2312" w:cs="仿宋_GB2312"/>
          <w:bCs/>
          <w:sz w:val="28"/>
          <w:szCs w:val="28"/>
          <w:highlight w:val="none"/>
        </w:rPr>
        <w:t>采购编号：GYRJ-2022-QT-25</w:t>
      </w:r>
    </w:p>
    <w:p>
      <w:pPr>
        <w:spacing w:line="288" w:lineRule="auto"/>
        <w:jc w:val="center"/>
        <w:rPr>
          <w:rFonts w:ascii="宋体" w:hAnsi="宋体" w:cs="宋体"/>
          <w:b/>
          <w:sz w:val="52"/>
          <w:szCs w:val="52"/>
        </w:rPr>
      </w:pPr>
    </w:p>
    <w:p>
      <w:pPr>
        <w:spacing w:line="8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四川能投广元燃机工程</w:t>
      </w:r>
    </w:p>
    <w:p>
      <w:pPr>
        <w:spacing w:line="800" w:lineRule="exact"/>
        <w:jc w:val="center"/>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sz w:val="36"/>
          <w:szCs w:val="36"/>
          <w:lang w:eastAsia="zh-CN"/>
        </w:rPr>
        <w:t>第二批至第五批辅机设备招标工作协助服务单位选聘</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争</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性</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谈</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判</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文</w:t>
      </w:r>
    </w:p>
    <w:p>
      <w:pPr>
        <w:spacing w:line="700" w:lineRule="exact"/>
        <w:jc w:val="center"/>
      </w:pPr>
      <w:r>
        <w:rPr>
          <w:rFonts w:hint="eastAsia" w:ascii="方正小标宋简体" w:hAnsi="方正小标宋简体" w:eastAsia="方正小标宋简体" w:cs="方正小标宋简体"/>
          <w:bCs/>
          <w:sz w:val="44"/>
          <w:szCs w:val="44"/>
        </w:rPr>
        <w:t>件</w:t>
      </w:r>
    </w:p>
    <w:p>
      <w:pPr>
        <w:spacing w:line="288" w:lineRule="auto"/>
        <w:jc w:val="center"/>
        <w:rPr>
          <w:rFonts w:ascii="宋体" w:hAnsi="宋体" w:cs="宋体"/>
          <w:b/>
          <w:sz w:val="28"/>
          <w:szCs w:val="28"/>
        </w:rPr>
      </w:pPr>
    </w:p>
    <w:p>
      <w:pPr>
        <w:spacing w:line="288" w:lineRule="auto"/>
        <w:ind w:firstLine="1960" w:firstLineChars="700"/>
        <w:rPr>
          <w:rFonts w:ascii="仿宋_GB2312" w:hAnsi="仿宋_GB2312" w:eastAsia="仿宋_GB2312" w:cs="仿宋_GB2312"/>
          <w:sz w:val="28"/>
          <w:szCs w:val="28"/>
        </w:rPr>
      </w:pPr>
    </w:p>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采购人：四川能投广元燃气发电有限公司</w:t>
      </w:r>
    </w:p>
    <w:p>
      <w:pPr>
        <w:spacing w:line="288" w:lineRule="auto"/>
        <w:jc w:val="center"/>
        <w:rPr>
          <w:rFonts w:ascii="宋体" w:hAnsi="宋体"/>
          <w:b/>
          <w:sz w:val="32"/>
          <w:szCs w:val="32"/>
        </w:rPr>
      </w:pPr>
      <w:r>
        <w:rPr>
          <w:rFonts w:hint="eastAsia" w:ascii="仿宋_GB2312" w:hAnsi="仿宋_GB2312" w:eastAsia="仿宋_GB2312" w:cs="仿宋_GB2312"/>
          <w:bCs/>
          <w:sz w:val="28"/>
          <w:szCs w:val="28"/>
        </w:rPr>
        <w:t>时  间：2022年10月</w:t>
      </w:r>
    </w:p>
    <w:p>
      <w:pPr>
        <w:pStyle w:val="3"/>
        <w:jc w:val="center"/>
        <w:rPr>
          <w:bCs w:val="0"/>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3"/>
        <w:jc w:val="center"/>
        <w:rPr>
          <w:bCs w:val="0"/>
          <w:sz w:val="36"/>
          <w:szCs w:val="36"/>
        </w:rPr>
      </w:pPr>
      <w:bookmarkStart w:id="2" w:name="_Toc116568282"/>
      <w:r>
        <w:rPr>
          <w:rFonts w:hint="eastAsia"/>
          <w:bCs w:val="0"/>
          <w:sz w:val="36"/>
          <w:szCs w:val="36"/>
        </w:rPr>
        <w:t>目    录</w:t>
      </w:r>
      <w:bookmarkEnd w:id="2"/>
    </w:p>
    <w:sdt>
      <w:sdtPr>
        <w:rPr>
          <w:rFonts w:ascii="Times New Roman" w:hAnsi="Times New Roman" w:eastAsia="宋体" w:cs="Times New Roman"/>
          <w:color w:val="auto"/>
          <w:kern w:val="2"/>
          <w:sz w:val="21"/>
          <w:szCs w:val="20"/>
          <w:lang w:val="zh-CN"/>
        </w:rPr>
        <w:id w:val="-1089535613"/>
        <w:docPartObj>
          <w:docPartGallery w:val="Table of Contents"/>
          <w:docPartUnique/>
        </w:docPartObj>
      </w:sdtPr>
      <w:sdtEndPr>
        <w:rPr>
          <w:rFonts w:ascii="Times New Roman" w:hAnsi="Times New Roman" w:eastAsia="宋体" w:cs="Times New Roman"/>
          <w:color w:val="auto"/>
          <w:kern w:val="2"/>
          <w:sz w:val="21"/>
          <w:szCs w:val="20"/>
          <w:lang w:val="zh-CN"/>
        </w:rPr>
      </w:sdtEndPr>
      <w:sdtContent>
        <w:p>
          <w:pPr>
            <w:pStyle w:val="29"/>
            <w:snapToGrid w:val="0"/>
            <w:spacing w:before="0" w:line="240" w:lineRule="auto"/>
            <w:rPr>
              <w:rFonts w:ascii="方正小标宋简体" w:eastAsia="方正小标宋简体"/>
              <w:sz w:val="24"/>
              <w:szCs w:val="24"/>
            </w:rPr>
          </w:pPr>
        </w:p>
        <w:p>
          <w:pPr>
            <w:pStyle w:val="15"/>
            <w:tabs>
              <w:tab w:val="right" w:leader="dot" w:pos="8296"/>
            </w:tabs>
            <w:snapToGrid w:val="0"/>
            <w:rPr>
              <w:rFonts w:ascii="方正小标宋简体" w:eastAsia="方正小标宋简体"/>
              <w:sz w:val="24"/>
              <w:szCs w:val="24"/>
            </w:rPr>
          </w:pPr>
          <w:r>
            <w:rPr>
              <w:rFonts w:hint="eastAsia" w:ascii="方正小标宋简体" w:eastAsia="方正小标宋简体"/>
              <w:sz w:val="24"/>
              <w:szCs w:val="24"/>
            </w:rPr>
            <w:fldChar w:fldCharType="begin"/>
          </w:r>
          <w:r>
            <w:rPr>
              <w:rFonts w:hint="eastAsia" w:ascii="方正小标宋简体" w:eastAsia="方正小标宋简体"/>
              <w:sz w:val="24"/>
              <w:szCs w:val="24"/>
            </w:rPr>
            <w:instrText xml:space="preserve"> TOC \o "1-3" \h \z \u </w:instrText>
          </w:r>
          <w:r>
            <w:rPr>
              <w:rFonts w:hint="eastAsia" w:ascii="方正小标宋简体" w:eastAsia="方正小标宋简体"/>
              <w:sz w:val="24"/>
              <w:szCs w:val="24"/>
            </w:rPr>
            <w:fldChar w:fldCharType="separate"/>
          </w:r>
          <w:r>
            <w:fldChar w:fldCharType="begin"/>
          </w:r>
          <w:r>
            <w:instrText xml:space="preserve"> HYPERLINK \l "_Toc116568283" </w:instrText>
          </w:r>
          <w:r>
            <w:fldChar w:fldCharType="separate"/>
          </w:r>
          <w:r>
            <w:rPr>
              <w:rStyle w:val="21"/>
              <w:rFonts w:hint="eastAsia" w:ascii="方正小标宋简体" w:hAnsi="方正小标宋简体" w:eastAsia="方正小标宋简体" w:cs="方正小标宋简体"/>
              <w:sz w:val="24"/>
              <w:szCs w:val="24"/>
            </w:rPr>
            <w:t xml:space="preserve">第一章  </w:t>
          </w:r>
          <w:r>
            <w:rPr>
              <w:rStyle w:val="21"/>
              <w:rFonts w:hint="eastAsia" w:ascii="方正小标宋简体" w:hAnsi="宋体" w:eastAsia="方正小标宋简体" w:cs="宋体"/>
              <w:sz w:val="24"/>
              <w:szCs w:val="24"/>
            </w:rPr>
            <w:t>竞争性谈判公告</w:t>
          </w:r>
          <w:r>
            <w:rPr>
              <w:rFonts w:hint="eastAsia" w:ascii="方正小标宋简体" w:eastAsia="方正小标宋简体"/>
              <w:sz w:val="24"/>
              <w:szCs w:val="24"/>
            </w:rPr>
            <w:tab/>
          </w:r>
          <w:r>
            <w:rPr>
              <w:rFonts w:hint="eastAsia" w:ascii="方正小标宋简体" w:eastAsia="方正小标宋简体"/>
              <w:sz w:val="24"/>
              <w:szCs w:val="24"/>
            </w:rPr>
            <w:fldChar w:fldCharType="begin"/>
          </w:r>
          <w:r>
            <w:rPr>
              <w:rFonts w:hint="eastAsia" w:ascii="方正小标宋简体" w:eastAsia="方正小标宋简体"/>
              <w:sz w:val="24"/>
              <w:szCs w:val="24"/>
            </w:rPr>
            <w:instrText xml:space="preserve"> PAGEREF _Toc116568283 \h </w:instrText>
          </w:r>
          <w:r>
            <w:rPr>
              <w:rFonts w:hint="eastAsia" w:ascii="方正小标宋简体" w:eastAsia="方正小标宋简体"/>
              <w:sz w:val="24"/>
              <w:szCs w:val="24"/>
            </w:rPr>
            <w:fldChar w:fldCharType="separate"/>
          </w:r>
          <w:r>
            <w:rPr>
              <w:rFonts w:ascii="方正小标宋简体" w:eastAsia="方正小标宋简体"/>
              <w:sz w:val="24"/>
              <w:szCs w:val="24"/>
            </w:rPr>
            <w:t>2</w:t>
          </w:r>
          <w:r>
            <w:rPr>
              <w:rFonts w:hint="eastAsia" w:ascii="方正小标宋简体" w:eastAsia="方正小标宋简体"/>
              <w:sz w:val="24"/>
              <w:szCs w:val="24"/>
            </w:rPr>
            <w:fldChar w:fldCharType="end"/>
          </w:r>
          <w:r>
            <w:rPr>
              <w:rFonts w:hint="eastAsia" w:ascii="方正小标宋简体" w:eastAsia="方正小标宋简体"/>
              <w:sz w:val="24"/>
              <w:szCs w:val="24"/>
            </w:rPr>
            <w:fldChar w:fldCharType="end"/>
          </w:r>
        </w:p>
        <w:p>
          <w:pPr>
            <w:pStyle w:val="15"/>
            <w:tabs>
              <w:tab w:val="right" w:leader="dot" w:pos="8296"/>
            </w:tabs>
            <w:snapToGrid w:val="0"/>
            <w:rPr>
              <w:rFonts w:ascii="方正小标宋简体" w:eastAsia="方正小标宋简体"/>
              <w:sz w:val="24"/>
              <w:szCs w:val="24"/>
            </w:rPr>
          </w:pPr>
          <w:r>
            <w:fldChar w:fldCharType="begin"/>
          </w:r>
          <w:r>
            <w:instrText xml:space="preserve"> HYPERLINK \l "_Toc116568284" </w:instrText>
          </w:r>
          <w:r>
            <w:fldChar w:fldCharType="separate"/>
          </w:r>
          <w:r>
            <w:rPr>
              <w:rStyle w:val="21"/>
              <w:rFonts w:hint="eastAsia" w:ascii="方正小标宋简体" w:hAnsi="方正小标宋简体" w:eastAsia="方正小标宋简体" w:cs="方正小标宋简体"/>
              <w:sz w:val="24"/>
              <w:szCs w:val="24"/>
            </w:rPr>
            <w:t>第二章  谈判须知</w:t>
          </w:r>
          <w:r>
            <w:rPr>
              <w:rFonts w:hint="eastAsia" w:ascii="方正小标宋简体" w:eastAsia="方正小标宋简体"/>
              <w:sz w:val="24"/>
              <w:szCs w:val="24"/>
            </w:rPr>
            <w:tab/>
          </w:r>
          <w:r>
            <w:rPr>
              <w:rFonts w:hint="eastAsia" w:ascii="方正小标宋简体" w:eastAsia="方正小标宋简体"/>
              <w:sz w:val="24"/>
              <w:szCs w:val="24"/>
            </w:rPr>
            <w:fldChar w:fldCharType="begin"/>
          </w:r>
          <w:r>
            <w:rPr>
              <w:rFonts w:hint="eastAsia" w:ascii="方正小标宋简体" w:eastAsia="方正小标宋简体"/>
              <w:sz w:val="24"/>
              <w:szCs w:val="24"/>
            </w:rPr>
            <w:instrText xml:space="preserve"> PAGEREF _Toc116568284 \h </w:instrText>
          </w:r>
          <w:r>
            <w:rPr>
              <w:rFonts w:hint="eastAsia" w:ascii="方正小标宋简体" w:eastAsia="方正小标宋简体"/>
              <w:sz w:val="24"/>
              <w:szCs w:val="24"/>
            </w:rPr>
            <w:fldChar w:fldCharType="separate"/>
          </w:r>
          <w:r>
            <w:rPr>
              <w:rFonts w:ascii="方正小标宋简体" w:eastAsia="方正小标宋简体"/>
              <w:sz w:val="24"/>
              <w:szCs w:val="24"/>
            </w:rPr>
            <w:t>5</w:t>
          </w:r>
          <w:r>
            <w:rPr>
              <w:rFonts w:hint="eastAsia" w:ascii="方正小标宋简体" w:eastAsia="方正小标宋简体"/>
              <w:sz w:val="24"/>
              <w:szCs w:val="24"/>
            </w:rPr>
            <w:fldChar w:fldCharType="end"/>
          </w:r>
          <w:r>
            <w:rPr>
              <w:rFonts w:hint="eastAsia" w:ascii="方正小标宋简体" w:eastAsia="方正小标宋简体"/>
              <w:sz w:val="24"/>
              <w:szCs w:val="24"/>
            </w:rPr>
            <w:fldChar w:fldCharType="end"/>
          </w:r>
        </w:p>
        <w:p>
          <w:pPr>
            <w:pStyle w:val="15"/>
            <w:tabs>
              <w:tab w:val="right" w:leader="dot" w:pos="8296"/>
            </w:tabs>
            <w:snapToGrid w:val="0"/>
            <w:rPr>
              <w:rFonts w:ascii="方正小标宋简体" w:eastAsia="方正小标宋简体"/>
              <w:sz w:val="24"/>
              <w:szCs w:val="24"/>
            </w:rPr>
          </w:pPr>
          <w:r>
            <w:fldChar w:fldCharType="begin"/>
          </w:r>
          <w:r>
            <w:instrText xml:space="preserve"> HYPERLINK \l "_Toc116568320" </w:instrText>
          </w:r>
          <w:r>
            <w:fldChar w:fldCharType="separate"/>
          </w:r>
          <w:r>
            <w:rPr>
              <w:rStyle w:val="21"/>
              <w:rFonts w:hint="eastAsia" w:ascii="方正小标宋简体" w:hAnsi="方正小标宋简体" w:eastAsia="方正小标宋简体" w:cs="方正小标宋简体"/>
              <w:sz w:val="24"/>
              <w:szCs w:val="24"/>
            </w:rPr>
            <w:t>第三章  评审办法</w:t>
          </w:r>
          <w:r>
            <w:rPr>
              <w:rFonts w:hint="eastAsia" w:ascii="方正小标宋简体" w:eastAsia="方正小标宋简体"/>
              <w:sz w:val="24"/>
              <w:szCs w:val="24"/>
            </w:rPr>
            <w:tab/>
          </w:r>
          <w:r>
            <w:rPr>
              <w:rFonts w:hint="eastAsia" w:ascii="方正小标宋简体" w:eastAsia="方正小标宋简体"/>
              <w:sz w:val="24"/>
              <w:szCs w:val="24"/>
            </w:rPr>
            <w:fldChar w:fldCharType="begin"/>
          </w:r>
          <w:r>
            <w:rPr>
              <w:rFonts w:hint="eastAsia" w:ascii="方正小标宋简体" w:eastAsia="方正小标宋简体"/>
              <w:sz w:val="24"/>
              <w:szCs w:val="24"/>
            </w:rPr>
            <w:instrText xml:space="preserve"> PAGEREF _Toc116568320 \h </w:instrText>
          </w:r>
          <w:r>
            <w:rPr>
              <w:rFonts w:hint="eastAsia" w:ascii="方正小标宋简体" w:eastAsia="方正小标宋简体"/>
              <w:sz w:val="24"/>
              <w:szCs w:val="24"/>
            </w:rPr>
            <w:fldChar w:fldCharType="separate"/>
          </w:r>
          <w:r>
            <w:rPr>
              <w:rFonts w:ascii="方正小标宋简体" w:eastAsia="方正小标宋简体"/>
              <w:sz w:val="24"/>
              <w:szCs w:val="24"/>
            </w:rPr>
            <w:t>15</w:t>
          </w:r>
          <w:r>
            <w:rPr>
              <w:rFonts w:hint="eastAsia" w:ascii="方正小标宋简体" w:eastAsia="方正小标宋简体"/>
              <w:sz w:val="24"/>
              <w:szCs w:val="24"/>
            </w:rPr>
            <w:fldChar w:fldCharType="end"/>
          </w:r>
          <w:r>
            <w:rPr>
              <w:rFonts w:hint="eastAsia" w:ascii="方正小标宋简体" w:eastAsia="方正小标宋简体"/>
              <w:sz w:val="24"/>
              <w:szCs w:val="24"/>
            </w:rPr>
            <w:fldChar w:fldCharType="end"/>
          </w:r>
        </w:p>
        <w:p>
          <w:pPr>
            <w:pStyle w:val="15"/>
            <w:tabs>
              <w:tab w:val="right" w:leader="dot" w:pos="8296"/>
            </w:tabs>
            <w:snapToGrid w:val="0"/>
            <w:rPr>
              <w:rFonts w:ascii="方正小标宋简体" w:eastAsia="方正小标宋简体"/>
              <w:sz w:val="24"/>
              <w:szCs w:val="24"/>
            </w:rPr>
          </w:pPr>
          <w:r>
            <w:fldChar w:fldCharType="begin"/>
          </w:r>
          <w:r>
            <w:instrText xml:space="preserve"> HYPERLINK \l "_Toc116568321" </w:instrText>
          </w:r>
          <w:r>
            <w:fldChar w:fldCharType="separate"/>
          </w:r>
          <w:r>
            <w:rPr>
              <w:rStyle w:val="21"/>
              <w:rFonts w:hint="eastAsia" w:ascii="方正小标宋简体" w:hAnsi="方正小标宋简体" w:eastAsia="方正小标宋简体" w:cs="方正小标宋简体"/>
              <w:kern w:val="44"/>
              <w:sz w:val="24"/>
              <w:szCs w:val="24"/>
            </w:rPr>
            <w:t>第四章  合同条款及格式</w:t>
          </w:r>
          <w:r>
            <w:rPr>
              <w:rFonts w:hint="eastAsia" w:ascii="方正小标宋简体" w:eastAsia="方正小标宋简体"/>
              <w:sz w:val="24"/>
              <w:szCs w:val="24"/>
            </w:rPr>
            <w:tab/>
          </w:r>
          <w:r>
            <w:rPr>
              <w:rFonts w:hint="eastAsia" w:ascii="方正小标宋简体" w:eastAsia="方正小标宋简体"/>
              <w:sz w:val="24"/>
              <w:szCs w:val="24"/>
            </w:rPr>
            <w:fldChar w:fldCharType="begin"/>
          </w:r>
          <w:r>
            <w:rPr>
              <w:rFonts w:hint="eastAsia" w:ascii="方正小标宋简体" w:eastAsia="方正小标宋简体"/>
              <w:sz w:val="24"/>
              <w:szCs w:val="24"/>
            </w:rPr>
            <w:instrText xml:space="preserve"> PAGEREF _Toc116568321 \h </w:instrText>
          </w:r>
          <w:r>
            <w:rPr>
              <w:rFonts w:hint="eastAsia" w:ascii="方正小标宋简体" w:eastAsia="方正小标宋简体"/>
              <w:sz w:val="24"/>
              <w:szCs w:val="24"/>
            </w:rPr>
            <w:fldChar w:fldCharType="separate"/>
          </w:r>
          <w:r>
            <w:rPr>
              <w:rFonts w:ascii="方正小标宋简体" w:eastAsia="方正小标宋简体"/>
              <w:sz w:val="24"/>
              <w:szCs w:val="24"/>
            </w:rPr>
            <w:t>17</w:t>
          </w:r>
          <w:r>
            <w:rPr>
              <w:rFonts w:hint="eastAsia" w:ascii="方正小标宋简体" w:eastAsia="方正小标宋简体"/>
              <w:sz w:val="24"/>
              <w:szCs w:val="24"/>
            </w:rPr>
            <w:fldChar w:fldCharType="end"/>
          </w:r>
          <w:r>
            <w:rPr>
              <w:rFonts w:hint="eastAsia" w:ascii="方正小标宋简体" w:eastAsia="方正小标宋简体"/>
              <w:sz w:val="24"/>
              <w:szCs w:val="24"/>
            </w:rPr>
            <w:fldChar w:fldCharType="end"/>
          </w:r>
        </w:p>
        <w:p>
          <w:pPr>
            <w:pStyle w:val="15"/>
            <w:tabs>
              <w:tab w:val="right" w:leader="dot" w:pos="8296"/>
            </w:tabs>
            <w:snapToGrid w:val="0"/>
            <w:rPr>
              <w:rFonts w:ascii="方正小标宋简体" w:eastAsia="方正小标宋简体"/>
              <w:sz w:val="24"/>
              <w:szCs w:val="24"/>
            </w:rPr>
          </w:pPr>
          <w:r>
            <w:fldChar w:fldCharType="begin"/>
          </w:r>
          <w:r>
            <w:instrText xml:space="preserve"> HYPERLINK \l "_Toc116568324" </w:instrText>
          </w:r>
          <w:r>
            <w:fldChar w:fldCharType="separate"/>
          </w:r>
          <w:r>
            <w:rPr>
              <w:rStyle w:val="21"/>
              <w:rFonts w:hint="eastAsia" w:ascii="方正小标宋简体" w:hAnsi="方正小标宋简体" w:eastAsia="方正小标宋简体" w:cs="方正小标宋简体"/>
              <w:kern w:val="44"/>
              <w:sz w:val="24"/>
              <w:szCs w:val="24"/>
            </w:rPr>
            <w:t>第五章  响应文件格式</w:t>
          </w:r>
          <w:r>
            <w:rPr>
              <w:rFonts w:hint="eastAsia" w:ascii="方正小标宋简体" w:eastAsia="方正小标宋简体"/>
              <w:sz w:val="24"/>
              <w:szCs w:val="24"/>
            </w:rPr>
            <w:tab/>
          </w:r>
          <w:r>
            <w:rPr>
              <w:rFonts w:hint="eastAsia" w:ascii="方正小标宋简体" w:eastAsia="方正小标宋简体"/>
              <w:sz w:val="24"/>
              <w:szCs w:val="24"/>
            </w:rPr>
            <w:fldChar w:fldCharType="begin"/>
          </w:r>
          <w:r>
            <w:rPr>
              <w:rFonts w:hint="eastAsia" w:ascii="方正小标宋简体" w:eastAsia="方正小标宋简体"/>
              <w:sz w:val="24"/>
              <w:szCs w:val="24"/>
            </w:rPr>
            <w:instrText xml:space="preserve"> PAGEREF _Toc116568324 \h </w:instrText>
          </w:r>
          <w:r>
            <w:rPr>
              <w:rFonts w:hint="eastAsia" w:ascii="方正小标宋简体" w:eastAsia="方正小标宋简体"/>
              <w:sz w:val="24"/>
              <w:szCs w:val="24"/>
            </w:rPr>
            <w:fldChar w:fldCharType="separate"/>
          </w:r>
          <w:r>
            <w:rPr>
              <w:rFonts w:ascii="方正小标宋简体" w:eastAsia="方正小标宋简体"/>
              <w:sz w:val="24"/>
              <w:szCs w:val="24"/>
            </w:rPr>
            <w:t>25</w:t>
          </w:r>
          <w:r>
            <w:rPr>
              <w:rFonts w:hint="eastAsia" w:ascii="方正小标宋简体" w:eastAsia="方正小标宋简体"/>
              <w:sz w:val="24"/>
              <w:szCs w:val="24"/>
            </w:rPr>
            <w:fldChar w:fldCharType="end"/>
          </w:r>
          <w:r>
            <w:rPr>
              <w:rFonts w:hint="eastAsia" w:ascii="方正小标宋简体" w:eastAsia="方正小标宋简体"/>
              <w:sz w:val="24"/>
              <w:szCs w:val="24"/>
            </w:rPr>
            <w:fldChar w:fldCharType="end"/>
          </w:r>
        </w:p>
        <w:p>
          <w:pPr>
            <w:pStyle w:val="16"/>
            <w:tabs>
              <w:tab w:val="right" w:leader="dot" w:pos="8296"/>
            </w:tabs>
            <w:snapToGrid w:val="0"/>
            <w:rPr>
              <w:rFonts w:ascii="方正小标宋简体" w:eastAsia="方正小标宋简体"/>
              <w:sz w:val="24"/>
              <w:szCs w:val="24"/>
            </w:rPr>
          </w:pPr>
        </w:p>
        <w:p>
          <w:pPr>
            <w:snapToGrid w:val="0"/>
          </w:pPr>
          <w:r>
            <w:rPr>
              <w:rFonts w:hint="eastAsia" w:ascii="方正小标宋简体" w:eastAsia="方正小标宋简体"/>
              <w:sz w:val="24"/>
              <w:szCs w:val="24"/>
              <w:lang w:val="zh-CN"/>
            </w:rPr>
            <w:fldChar w:fldCharType="end"/>
          </w:r>
        </w:p>
      </w:sdtContent>
    </w:sdt>
    <w:bookmarkEnd w:id="0"/>
    <w:bookmarkEnd w:id="1"/>
    <w:p>
      <w:pPr>
        <w:pStyle w:val="3"/>
        <w:spacing w:before="0" w:after="0" w:line="360" w:lineRule="auto"/>
        <w:jc w:val="center"/>
        <w:rPr>
          <w:rFonts w:ascii="方正小标宋简体" w:hAnsi="方正小标宋简体" w:eastAsia="方正小标宋简体" w:cs="方正小标宋简体"/>
          <w:b w:val="0"/>
          <w:bCs w:val="0"/>
          <w:sz w:val="32"/>
          <w:szCs w:val="32"/>
        </w:rPr>
      </w:pPr>
      <w:bookmarkStart w:id="3" w:name="OLE_LINK1"/>
      <w:bookmarkStart w:id="4" w:name="_Toc466206533"/>
      <w:bookmarkStart w:id="5" w:name="_Toc213396759"/>
      <w:bookmarkStart w:id="6" w:name="_Toc213396945"/>
      <w:bookmarkStart w:id="7" w:name="_Toc217446031"/>
      <w:bookmarkStart w:id="8" w:name="_Toc213496267"/>
      <w:bookmarkStart w:id="9" w:name="_Toc213397009"/>
      <w:bookmarkStart w:id="10" w:name="_Toc183682339"/>
      <w:bookmarkStart w:id="11" w:name="_Toc77400776"/>
      <w:bookmarkStart w:id="12" w:name="_Toc183582202"/>
      <w:bookmarkStart w:id="13" w:name="_Toc89075871"/>
      <w:r>
        <w:rPr>
          <w:rFonts w:hint="eastAsia" w:ascii="宋体" w:hAnsi="宋体" w:cs="宋体"/>
          <w:sz w:val="32"/>
          <w:szCs w:val="32"/>
        </w:rPr>
        <w:br w:type="page"/>
      </w:r>
      <w:bookmarkStart w:id="14" w:name="_Toc116568283"/>
      <w:r>
        <w:rPr>
          <w:rFonts w:hint="eastAsia" w:ascii="方正小标宋简体" w:hAnsi="方正小标宋简体" w:eastAsia="方正小标宋简体" w:cs="方正小标宋简体"/>
          <w:b w:val="0"/>
          <w:bCs w:val="0"/>
          <w:sz w:val="32"/>
          <w:szCs w:val="32"/>
        </w:rPr>
        <w:t xml:space="preserve">第一章  </w:t>
      </w:r>
      <w:bookmarkEnd w:id="3"/>
      <w:bookmarkEnd w:id="4"/>
      <w:bookmarkStart w:id="120" w:name="_GoBack"/>
      <w:r>
        <w:rPr>
          <w:rFonts w:hint="eastAsia" w:ascii="宋体" w:hAnsi="宋体" w:cs="宋体"/>
          <w:sz w:val="30"/>
          <w:szCs w:val="30"/>
        </w:rPr>
        <w:t>竞争性谈判公告</w:t>
      </w:r>
      <w:bookmarkEnd w:id="14"/>
    </w:p>
    <w:p>
      <w:pPr>
        <w:spacing w:line="520" w:lineRule="exact"/>
        <w:ind w:firstLine="560" w:firstLineChars="200"/>
        <w:rPr>
          <w:rFonts w:ascii="仿宋_GB2312" w:hAnsi="仿宋_GB2312" w:eastAsia="仿宋_GB2312" w:cs="仿宋_GB2312"/>
          <w:sz w:val="28"/>
          <w:szCs w:val="28"/>
          <w:shd w:val="clear" w:color="auto" w:fill="FFFF00"/>
        </w:rPr>
      </w:pPr>
      <w:r>
        <w:rPr>
          <w:rFonts w:hint="eastAsia" w:ascii="仿宋_GB2312" w:hAnsi="仿宋_GB2312" w:eastAsia="仿宋_GB2312" w:cs="仿宋_GB2312"/>
          <w:bCs/>
          <w:sz w:val="28"/>
          <w:szCs w:val="28"/>
          <w:u w:val="single"/>
        </w:rPr>
        <w:t xml:space="preserve">  四川能投广元燃气发电有限公司  </w:t>
      </w:r>
      <w:r>
        <w:rPr>
          <w:rFonts w:hint="eastAsia" w:ascii="仿宋_GB2312" w:hAnsi="仿宋_GB2312" w:eastAsia="仿宋_GB2312" w:cs="仿宋_GB2312"/>
          <w:sz w:val="28"/>
          <w:szCs w:val="28"/>
        </w:rPr>
        <w:t>（采购人名称）就</w:t>
      </w:r>
      <w:r>
        <w:rPr>
          <w:rFonts w:hint="eastAsia" w:ascii="仿宋_GB2312" w:hAnsi="仿宋_GB2312" w:eastAsia="仿宋_GB2312" w:cs="仿宋_GB2312"/>
          <w:bCs/>
          <w:sz w:val="28"/>
          <w:szCs w:val="28"/>
          <w:u w:val="single"/>
        </w:rPr>
        <w:t>四川能投广元燃机工程</w:t>
      </w:r>
      <w:r>
        <w:rPr>
          <w:rFonts w:hint="eastAsia" w:ascii="仿宋_GB2312" w:hAnsi="仿宋_GB2312" w:eastAsia="仿宋_GB2312" w:cs="仿宋_GB2312"/>
          <w:bCs/>
          <w:sz w:val="28"/>
          <w:szCs w:val="28"/>
          <w:u w:val="single"/>
          <w:lang w:eastAsia="zh-CN"/>
        </w:rPr>
        <w:t>第二批至第五批辅机设备招标工作协助服务单位选聘</w:t>
      </w:r>
      <w:r>
        <w:rPr>
          <w:rFonts w:hint="eastAsia" w:ascii="仿宋_GB2312" w:hAnsi="仿宋_GB2312" w:eastAsia="仿宋_GB2312" w:cs="仿宋_GB2312"/>
          <w:sz w:val="28"/>
          <w:szCs w:val="28"/>
        </w:rPr>
        <w:t>项目组织竞争性谈判采购。</w:t>
      </w:r>
    </w:p>
    <w:p>
      <w:pPr>
        <w:snapToGrid w:val="0"/>
        <w:spacing w:line="520" w:lineRule="exact"/>
        <w:ind w:firstLine="600" w:firstLineChars="200"/>
        <w:outlineLvl w:val="1"/>
        <w:rPr>
          <w:rFonts w:ascii="黑体" w:hAnsi="黑体" w:eastAsia="黑体" w:cs="黑体"/>
          <w:bCs/>
          <w:spacing w:val="10"/>
          <w:sz w:val="28"/>
          <w:szCs w:val="28"/>
        </w:rPr>
      </w:pPr>
      <w:r>
        <w:rPr>
          <w:rFonts w:hint="eastAsia" w:ascii="黑体" w:hAnsi="黑体" w:eastAsia="黑体" w:cs="黑体"/>
          <w:bCs/>
          <w:spacing w:val="10"/>
          <w:sz w:val="28"/>
          <w:szCs w:val="28"/>
        </w:rPr>
        <w:t>一、采购项目概况</w:t>
      </w:r>
    </w:p>
    <w:p>
      <w:pPr>
        <w:adjustRightInd w:val="0"/>
        <w:snapToGrid w:val="0"/>
        <w:spacing w:line="360" w:lineRule="auto"/>
        <w:ind w:firstLine="560" w:firstLineChars="200"/>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sz w:val="28"/>
          <w:szCs w:val="28"/>
        </w:rPr>
        <w:t>四川能投广元燃机工程</w:t>
      </w:r>
      <w:r>
        <w:rPr>
          <w:rFonts w:hint="eastAsia" w:ascii="仿宋_GB2312" w:hAnsi="仿宋_GB2312" w:eastAsia="仿宋_GB2312" w:cs="仿宋_GB2312"/>
          <w:bCs/>
          <w:sz w:val="28"/>
          <w:szCs w:val="28"/>
          <w:lang w:eastAsia="zh-CN"/>
        </w:rPr>
        <w:t>第二批至第五批辅机设备招标工作协助服务单位选聘</w:t>
      </w:r>
      <w:r>
        <w:rPr>
          <w:rFonts w:hint="eastAsia" w:ascii="仿宋_GB2312" w:hAnsi="仿宋_GB2312" w:eastAsia="仿宋_GB2312" w:cs="仿宋_GB2312"/>
          <w:bCs/>
          <w:sz w:val="28"/>
          <w:szCs w:val="28"/>
        </w:rPr>
        <w:t xml:space="preserve"> </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2.资金来源：采购人自筹资金 </w:t>
      </w:r>
    </w:p>
    <w:p>
      <w:pPr>
        <w:pStyle w:val="7"/>
        <w:adjustRightInd w:val="0"/>
        <w:snapToGrid w:val="0"/>
        <w:spacing w:after="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3.工作内容：</w:t>
      </w:r>
      <w:r>
        <w:rPr>
          <w:rFonts w:hint="eastAsia" w:ascii="仿宋_GB2312" w:hAnsi="仿宋_GB2312" w:eastAsia="仿宋_GB2312" w:cs="仿宋_GB2312"/>
          <w:bCs/>
          <w:sz w:val="28"/>
          <w:szCs w:val="28"/>
        </w:rPr>
        <w:t>对市场进行调研，对潜在供应商进行分析，提出建议名单；配合业主单位对招标控制价、分标方案审查，确定招标形式；参与编制及评审招标文件，包括协助业主确定标段招标范围，评审招标文件商务部分及技术规范书，设置科学合理的商务评分细则、技术评分细则等；草拟合同，包括合同中的通用条款和专用条款、技术协议书、维保协议等；根据业主需要，参与合同谈判工作。</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4.工期：签订合同后</w:t>
      </w:r>
      <w:r>
        <w:rPr>
          <w:rFonts w:hint="eastAsia" w:ascii="仿宋_GB2312" w:hAnsi="仿宋_GB2312" w:eastAsia="仿宋_GB2312" w:cs="仿宋_GB2312"/>
          <w:sz w:val="28"/>
          <w:szCs w:val="28"/>
          <w:u w:val="single"/>
        </w:rPr>
        <w:t>至辅机设备</w:t>
      </w:r>
      <w:r>
        <w:rPr>
          <w:rFonts w:hint="eastAsia" w:ascii="仿宋_GB2312" w:hAnsi="仿宋_GB2312" w:eastAsia="仿宋_GB2312" w:cs="仿宋_GB2312"/>
          <w:sz w:val="28"/>
          <w:szCs w:val="28"/>
          <w:u w:val="single"/>
          <w:lang w:val="en-US" w:eastAsia="zh-CN"/>
        </w:rPr>
        <w:t>技术协议签订</w:t>
      </w:r>
      <w:r>
        <w:rPr>
          <w:rFonts w:hint="eastAsia" w:ascii="仿宋_GB2312" w:hAnsi="仿宋_GB2312" w:eastAsia="仿宋_GB2312" w:cs="仿宋_GB2312"/>
          <w:sz w:val="28"/>
          <w:szCs w:val="28"/>
        </w:rPr>
        <w:t>完成。</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5.质量要求：符合国家、行业现行合格标准要求。</w:t>
      </w:r>
    </w:p>
    <w:p>
      <w:pPr>
        <w:snapToGrid w:val="0"/>
        <w:spacing w:line="520" w:lineRule="exact"/>
        <w:ind w:firstLine="600" w:firstLineChars="200"/>
        <w:outlineLvl w:val="1"/>
        <w:rPr>
          <w:rFonts w:ascii="黑体" w:hAnsi="黑体" w:eastAsia="黑体" w:cs="黑体"/>
          <w:bCs/>
          <w:spacing w:val="10"/>
          <w:sz w:val="28"/>
          <w:szCs w:val="28"/>
        </w:rPr>
      </w:pPr>
      <w:r>
        <w:rPr>
          <w:rFonts w:hint="eastAsia" w:ascii="黑体" w:hAnsi="黑体" w:eastAsia="黑体" w:cs="黑体"/>
          <w:bCs/>
          <w:spacing w:val="10"/>
          <w:sz w:val="28"/>
          <w:szCs w:val="28"/>
        </w:rPr>
        <w:t>二、响应人参加本次竞争性谈判应具备下列条件</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1.一般要求：</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（1）必须具有中华人民共和国独立法人资格，独立履行民事责任能力；</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（2）具有依法缴纳税收和社会保障资金的良好记录；</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（3）具有履行合同所必需专业技术能力。</w:t>
      </w:r>
    </w:p>
    <w:p>
      <w:pPr>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2.业绩要求：具有1个火电、燃气发电等类似发电项目相关设备招标或建设工作业绩。</w:t>
      </w:r>
    </w:p>
    <w:p>
      <w:pPr>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信誉要求：近3年（2019年1月1日～2021年12月31日），响应人没有处于投标禁入期；响应人没有处于被责令停产、财产被接管、冻结或破产状态；响应人在国内招投标活动、合同履行、服务及产品运行过程中，未受到公开通报批评，在生产经营活动中没有重大违法记录。</w:t>
      </w:r>
    </w:p>
    <w:p>
      <w:pPr>
        <w:pStyle w:val="7"/>
        <w:spacing w:after="0"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4.资质要求：</w:t>
      </w:r>
    </w:p>
    <w:p>
      <w:pPr>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（1）中华人民共和国境内注册的独立法人资格企业，经营范围具有工程管理服务，并在人员、设备、资金等方面具有相应的能力；</w:t>
      </w:r>
    </w:p>
    <w:p>
      <w:pPr>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（2）项目负责人具有高级工程师资格证书。</w:t>
      </w:r>
    </w:p>
    <w:p>
      <w:pPr>
        <w:spacing w:line="520" w:lineRule="exact"/>
        <w:ind w:firstLine="600" w:firstLineChars="200"/>
        <w:rPr>
          <w:rFonts w:ascii="仿宋_GB2312" w:hAnsi="仿宋_GB2312" w:eastAsia="仿宋_GB2312" w:cs="仿宋_GB2312"/>
          <w:spacing w:val="10"/>
          <w:sz w:val="28"/>
          <w:szCs w:val="28"/>
          <w:u w:val="single"/>
        </w:rPr>
      </w:pPr>
      <w:r>
        <w:rPr>
          <w:rFonts w:hint="eastAsia" w:ascii="仿宋_GB2312" w:hAnsi="仿宋_GB2312" w:eastAsia="仿宋_GB2312" w:cs="仿宋_GB2312"/>
          <w:spacing w:val="10"/>
          <w:sz w:val="28"/>
          <w:szCs w:val="28"/>
        </w:rPr>
        <w:t>5.本项目</w:t>
      </w:r>
      <w:r>
        <w:rPr>
          <w:rFonts w:hint="eastAsia" w:ascii="仿宋_GB2312" w:hAnsi="仿宋_GB2312" w:eastAsia="仿宋_GB2312" w:cs="仿宋_GB2312"/>
          <w:spacing w:val="10"/>
          <w:sz w:val="28"/>
          <w:szCs w:val="28"/>
          <w:u w:val="single"/>
        </w:rPr>
        <w:t>不接受</w:t>
      </w:r>
      <w:r>
        <w:rPr>
          <w:rFonts w:hint="eastAsia" w:ascii="仿宋_GB2312" w:hAnsi="仿宋_GB2312" w:eastAsia="仿宋_GB2312" w:cs="仿宋_GB2312"/>
          <w:spacing w:val="10"/>
          <w:sz w:val="28"/>
          <w:szCs w:val="28"/>
        </w:rPr>
        <w:t>联合体参加谈判。</w:t>
      </w:r>
    </w:p>
    <w:p>
      <w:pPr>
        <w:spacing w:line="560" w:lineRule="exact"/>
        <w:ind w:firstLine="560" w:firstLineChars="200"/>
        <w:outlineLvl w:val="1"/>
        <w:rPr>
          <w:rFonts w:ascii="黑体" w:hAnsi="黑体" w:eastAsia="黑体" w:cs="黑体"/>
          <w:spacing w:val="10"/>
          <w:sz w:val="28"/>
          <w:szCs w:val="28"/>
        </w:rPr>
      </w:pPr>
      <w:bookmarkStart w:id="15" w:name="_Toc14129"/>
      <w:r>
        <w:rPr>
          <w:rFonts w:hint="eastAsia" w:ascii="黑体" w:hAnsi="黑体" w:eastAsia="黑体" w:cs="黑体"/>
          <w:sz w:val="28"/>
          <w:szCs w:val="28"/>
        </w:rPr>
        <w:t>三、</w:t>
      </w:r>
      <w:r>
        <w:rPr>
          <w:rFonts w:hint="eastAsia" w:ascii="黑体" w:hAnsi="黑体" w:eastAsia="黑体" w:cs="黑体"/>
          <w:spacing w:val="10"/>
          <w:sz w:val="28"/>
          <w:szCs w:val="28"/>
        </w:rPr>
        <w:t>谈判文件</w:t>
      </w:r>
      <w:bookmarkEnd w:id="15"/>
      <w:r>
        <w:rPr>
          <w:rFonts w:hint="eastAsia" w:ascii="黑体" w:hAnsi="黑体" w:eastAsia="黑体" w:cs="黑体"/>
          <w:spacing w:val="10"/>
          <w:sz w:val="28"/>
          <w:szCs w:val="28"/>
        </w:rPr>
        <w:t>获取及报名</w:t>
      </w:r>
    </w:p>
    <w:p>
      <w:pPr>
        <w:kinsoku w:val="0"/>
        <w:overflowPunct w:val="0"/>
        <w:spacing w:line="560" w:lineRule="exact"/>
        <w:ind w:firstLine="840" w:firstLineChars="300"/>
        <w:rPr>
          <w:rFonts w:ascii="仿宋_GB2312" w:hAnsi="仿宋_GB2312" w:eastAsia="仿宋_GB2312" w:cs="仿宋_GB2312"/>
          <w:sz w:val="28"/>
          <w:szCs w:val="28"/>
        </w:rPr>
      </w:pPr>
      <w:bookmarkStart w:id="16" w:name="_Toc213226020"/>
      <w:bookmarkStart w:id="17" w:name="_Toc12537"/>
      <w:r>
        <w:rPr>
          <w:rFonts w:hint="eastAsia" w:ascii="仿宋_GB2312" w:hAnsi="仿宋_GB2312" w:eastAsia="仿宋_GB2312" w:cs="仿宋_GB2312"/>
          <w:sz w:val="28"/>
          <w:szCs w:val="28"/>
        </w:rPr>
        <w:t>请有意参加本项目竞谈响应人，请于 2022年10月</w:t>
      </w:r>
      <w:r>
        <w:rPr>
          <w:rFonts w:hint="eastAsia" w:ascii="仿宋_GB2312" w:hAnsi="仿宋_GB2312" w:eastAsia="仿宋_GB2312" w:cs="仿宋_GB2312"/>
          <w:sz w:val="28"/>
          <w:szCs w:val="28"/>
          <w:u w:val="single"/>
        </w:rPr>
        <w:t>17</w:t>
      </w:r>
      <w:r>
        <w:rPr>
          <w:rFonts w:hint="eastAsia" w:ascii="仿宋_GB2312" w:hAnsi="仿宋_GB2312" w:eastAsia="仿宋_GB2312" w:cs="仿宋_GB2312"/>
          <w:sz w:val="28"/>
          <w:szCs w:val="28"/>
        </w:rPr>
        <w:t>日至2022年10月</w:t>
      </w:r>
      <w:r>
        <w:rPr>
          <w:rFonts w:hint="eastAsia" w:ascii="仿宋_GB2312" w:hAnsi="仿宋_GB2312" w:eastAsia="仿宋_GB2312" w:cs="仿宋_GB2312"/>
          <w:sz w:val="28"/>
          <w:szCs w:val="28"/>
          <w:u w:val="single"/>
        </w:rPr>
        <w:t>18</w:t>
      </w:r>
      <w:r>
        <w:rPr>
          <w:rFonts w:hint="eastAsia" w:ascii="仿宋_GB2312" w:hAnsi="仿宋_GB2312" w:eastAsia="仿宋_GB2312" w:cs="仿宋_GB2312"/>
          <w:sz w:val="28"/>
          <w:szCs w:val="28"/>
        </w:rPr>
        <w:t>日，在四川能投广元燃气发电有限公司官网（https://gyrqfd.scnyw.com/）下载获取本项目的竞谈文件。</w:t>
      </w:r>
    </w:p>
    <w:bookmarkEnd w:id="16"/>
    <w:p>
      <w:pPr>
        <w:spacing w:line="560" w:lineRule="exact"/>
        <w:ind w:firstLine="600" w:firstLineChars="200"/>
        <w:outlineLvl w:val="1"/>
        <w:rPr>
          <w:rFonts w:ascii="黑体" w:hAnsi="黑体" w:eastAsia="黑体" w:cs="黑体"/>
          <w:spacing w:val="10"/>
          <w:sz w:val="28"/>
          <w:szCs w:val="28"/>
        </w:rPr>
      </w:pPr>
      <w:r>
        <w:rPr>
          <w:rFonts w:hint="eastAsia" w:ascii="黑体" w:hAnsi="黑体" w:eastAsia="黑体" w:cs="黑体"/>
          <w:spacing w:val="10"/>
          <w:sz w:val="28"/>
          <w:szCs w:val="28"/>
        </w:rPr>
        <w:t>四、谈判响应文件递交截止时间及递交地点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1.谈判响应文件递交的截止时间（谈判申请截止时间，下同）为2022年10月</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日9时30分，地点为成都市武侯区世纪城路1998号成达大厦10楼1017会议室。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2.逾期送达的或者未送达指定地点的谈判响应文件，采购人有权不予受理。</w:t>
      </w:r>
    </w:p>
    <w:p>
      <w:pPr>
        <w:spacing w:line="560" w:lineRule="exact"/>
        <w:ind w:firstLine="420" w:firstLineChars="200"/>
        <w:rPr>
          <w:rFonts w:ascii="仿宋_GB2312" w:hAnsi="仿宋_GB2312" w:eastAsia="仿宋_GB2312" w:cs="仿宋_GB2312"/>
          <w:sz w:val="28"/>
          <w:szCs w:val="28"/>
        </w:rPr>
      </w:pPr>
      <w:r>
        <w:fldChar w:fldCharType="begin"/>
      </w:r>
      <w:r>
        <w:instrText xml:space="preserve"> HYPERLINK "mailto:请有意参加本项目竞争的竞谈响应人，请于2021年05月XX日至2021年05月XX日，将公司报名电子材料发送至招标人联系人邮箱wanghuishuo@scgdhb.cn" </w:instrText>
      </w:r>
      <w:r>
        <w:fldChar w:fldCharType="separate"/>
      </w:r>
      <w:r>
        <w:rPr>
          <w:rFonts w:hint="eastAsia" w:ascii="仿宋_GB2312" w:hAnsi="仿宋_GB2312" w:eastAsia="仿宋_GB2312" w:cs="仿宋_GB2312"/>
          <w:sz w:val="28"/>
          <w:szCs w:val="28"/>
        </w:rPr>
        <w:t>请有意参加本项目竞争的竞谈响应人，请于2022年10月18日17:00前，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将公司报名资料电子档（扫描件）发送至联系邮箱，报名资料纸质档可同竞谈响应文件一并递交：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报名表（格式附后）；</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法定代表人授权委托书或介绍信，法定代表人及授权委托人身份证复印件（盖鲜章扫描件）；</w:t>
      </w:r>
    </w:p>
    <w:p>
      <w:pPr>
        <w:spacing w:line="560" w:lineRule="exact"/>
        <w:ind w:firstLine="560" w:firstLineChars="200"/>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注册于中华人民共和国的企业法人营业执照（盖鲜章扫描件）。</w:t>
      </w:r>
    </w:p>
    <w:p>
      <w:pPr>
        <w:spacing w:line="560" w:lineRule="exact"/>
        <w:ind w:firstLine="600" w:firstLineChars="200"/>
        <w:outlineLvl w:val="1"/>
        <w:rPr>
          <w:rFonts w:ascii="黑体" w:hAnsi="黑体" w:eastAsia="黑体" w:cs="黑体"/>
          <w:spacing w:val="10"/>
          <w:sz w:val="28"/>
          <w:szCs w:val="28"/>
        </w:rPr>
      </w:pPr>
      <w:r>
        <w:rPr>
          <w:rFonts w:hint="eastAsia" w:ascii="黑体" w:hAnsi="黑体" w:eastAsia="黑体" w:cs="黑体"/>
          <w:spacing w:val="10"/>
          <w:sz w:val="28"/>
          <w:szCs w:val="28"/>
        </w:rPr>
        <w:t xml:space="preserve">五、谈判时间及地点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1.谈判时间2022年10月</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日9时30分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2.谈判地点成都市武侯区世纪城路1998号成达大厦10楼1017会议室。</w:t>
      </w:r>
    </w:p>
    <w:p>
      <w:pPr>
        <w:spacing w:line="560" w:lineRule="exact"/>
        <w:ind w:firstLine="600" w:firstLineChars="200"/>
        <w:outlineLvl w:val="1"/>
        <w:rPr>
          <w:rFonts w:ascii="黑体" w:hAnsi="黑体" w:eastAsia="黑体" w:cs="黑体"/>
          <w:spacing w:val="10"/>
          <w:sz w:val="28"/>
          <w:szCs w:val="28"/>
        </w:rPr>
      </w:pPr>
      <w:r>
        <w:rPr>
          <w:rFonts w:hint="eastAsia" w:ascii="黑体" w:hAnsi="黑体" w:eastAsia="黑体" w:cs="黑体"/>
          <w:spacing w:val="10"/>
          <w:sz w:val="28"/>
          <w:szCs w:val="28"/>
        </w:rPr>
        <w:t>六、发布媒介</w:t>
      </w:r>
    </w:p>
    <w:p>
      <w:pPr>
        <w:spacing w:line="560" w:lineRule="exact"/>
        <w:ind w:firstLine="560" w:firstLineChars="200"/>
      </w:pPr>
      <w:r>
        <w:rPr>
          <w:rFonts w:hint="eastAsia" w:ascii="仿宋_GB2312" w:hAnsi="仿宋_GB2312" w:eastAsia="仿宋_GB2312" w:cs="仿宋_GB2312"/>
          <w:sz w:val="28"/>
          <w:szCs w:val="28"/>
        </w:rPr>
        <w:t>本谈判公告在四川能投广元燃气发电有限公司官网（https://gyrqfd.scnyw.com/）上发布。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黑体" w:hAnsi="黑体" w:eastAsia="黑体" w:cs="黑体"/>
          <w:sz w:val="28"/>
          <w:szCs w:val="28"/>
        </w:rPr>
      </w:pPr>
      <w:r>
        <w:rPr>
          <w:rFonts w:hint="eastAsia" w:ascii="黑体" w:hAnsi="黑体" w:eastAsia="黑体" w:cs="黑体"/>
          <w:sz w:val="28"/>
          <w:szCs w:val="28"/>
        </w:rPr>
        <w:t>七、联系方式</w:t>
      </w:r>
      <w:bookmarkEnd w:id="17"/>
    </w:p>
    <w:p>
      <w:pPr>
        <w:spacing w:line="560" w:lineRule="exact"/>
        <w:ind w:firstLine="560" w:firstLineChars="200"/>
        <w:rPr>
          <w:rFonts w:ascii="仿宋_GB2312" w:hAnsi="仿宋_GB2312" w:eastAsia="仿宋_GB2312" w:cs="仿宋_GB2312"/>
          <w:b/>
          <w:bCs/>
          <w:color w:val="000000"/>
          <w:sz w:val="28"/>
          <w:szCs w:val="28"/>
          <w:u w:val="single"/>
        </w:rPr>
      </w:pPr>
      <w:r>
        <w:rPr>
          <w:rFonts w:hint="eastAsia" w:ascii="仿宋_GB2312" w:hAnsi="仿宋_GB2312" w:eastAsia="仿宋_GB2312" w:cs="仿宋_GB2312"/>
          <w:sz w:val="28"/>
          <w:szCs w:val="28"/>
        </w:rPr>
        <w:t>采购人（全称）：</w:t>
      </w:r>
      <w:r>
        <w:rPr>
          <w:rFonts w:hint="eastAsia" w:ascii="仿宋_GB2312" w:hAnsi="仿宋_GB2312" w:eastAsia="仿宋_GB2312" w:cs="仿宋_GB2312"/>
          <w:bCs/>
          <w:color w:val="000000"/>
          <w:sz w:val="28"/>
          <w:szCs w:val="28"/>
          <w:u w:val="single"/>
        </w:rPr>
        <w:t>四川能投广元燃气发电有限公司</w:t>
      </w:r>
    </w:p>
    <w:p>
      <w:pPr>
        <w:spacing w:line="560" w:lineRule="exact"/>
        <w:ind w:firstLine="560" w:firstLineChars="200"/>
        <w:rPr>
          <w:rFonts w:ascii="仿宋_GB2312" w:hAnsi="仿宋_GB2312" w:eastAsia="仿宋_GB2312" w:cs="仿宋_GB2312"/>
          <w:color w:val="333399"/>
          <w:sz w:val="28"/>
          <w:szCs w:val="28"/>
        </w:rPr>
      </w:pPr>
      <w:r>
        <w:rPr>
          <w:rFonts w:hint="eastAsia" w:ascii="仿宋_GB2312" w:hAnsi="仿宋_GB2312" w:eastAsia="仿宋_GB2312" w:cs="仿宋_GB2312"/>
          <w:sz w:val="28"/>
          <w:szCs w:val="28"/>
        </w:rPr>
        <w:t>地    址：</w:t>
      </w:r>
      <w:r>
        <w:rPr>
          <w:rFonts w:hint="eastAsia" w:ascii="仿宋_GB2312" w:hAnsi="仿宋_GB2312" w:eastAsia="仿宋_GB2312" w:cs="仿宋_GB2312"/>
          <w:color w:val="000000"/>
          <w:sz w:val="28"/>
          <w:szCs w:val="28"/>
          <w:u w:val="single"/>
        </w:rPr>
        <w:t xml:space="preserve">成都市武侯区天府大道中段279号成达大厦10楼 </w:t>
      </w:r>
    </w:p>
    <w:p>
      <w:pPr>
        <w:spacing w:line="560" w:lineRule="exact"/>
        <w:ind w:firstLine="560" w:firstLineChars="200"/>
        <w:rPr>
          <w:rFonts w:ascii="仿宋_GB2312" w:hAnsi="仿宋_GB2312" w:eastAsia="仿宋_GB2312" w:cs="仿宋_GB2312"/>
          <w:color w:val="333399"/>
          <w:sz w:val="28"/>
          <w:szCs w:val="28"/>
        </w:rPr>
      </w:pPr>
      <w:r>
        <w:rPr>
          <w:rFonts w:hint="eastAsia" w:ascii="仿宋_GB2312" w:hAnsi="仿宋_GB2312" w:eastAsia="仿宋_GB2312" w:cs="仿宋_GB2312"/>
          <w:sz w:val="28"/>
          <w:szCs w:val="28"/>
        </w:rPr>
        <w:t>邮    编：</w:t>
      </w:r>
      <w:r>
        <w:rPr>
          <w:rFonts w:hint="eastAsia" w:ascii="仿宋_GB2312" w:hAnsi="仿宋_GB2312" w:eastAsia="仿宋_GB2312" w:cs="仿宋_GB2312"/>
          <w:color w:val="000000"/>
          <w:sz w:val="28"/>
          <w:szCs w:val="28"/>
          <w:u w:val="single"/>
        </w:rPr>
        <w:t>610095</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联 系 人：</w:t>
      </w:r>
      <w:r>
        <w:rPr>
          <w:rFonts w:hint="eastAsia" w:ascii="仿宋_GB2312" w:hAnsi="仿宋_GB2312" w:eastAsia="仿宋_GB2312" w:cs="仿宋_GB2312"/>
          <w:color w:val="000000"/>
          <w:sz w:val="28"/>
          <w:szCs w:val="28"/>
          <w:u w:val="single"/>
        </w:rPr>
        <w:t xml:space="preserve">刘先生 </w:t>
      </w:r>
    </w:p>
    <w:p>
      <w:pPr>
        <w:spacing w:line="560" w:lineRule="exact"/>
        <w:ind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color w:val="000000"/>
          <w:sz w:val="28"/>
          <w:szCs w:val="28"/>
          <w:u w:val="single"/>
        </w:rPr>
        <w:t xml:space="preserve">18281403393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联系邮箱：</w:t>
      </w:r>
      <w:r>
        <w:rPr>
          <w:rFonts w:hint="eastAsia" w:ascii="仿宋_GB2312" w:hAnsi="仿宋_GB2312" w:eastAsia="仿宋_GB2312" w:cs="仿宋_GB2312"/>
          <w:sz w:val="28"/>
          <w:szCs w:val="28"/>
          <w:u w:val="single"/>
        </w:rPr>
        <w:t>11484962@qq.com</w:t>
      </w:r>
    </w:p>
    <w:p>
      <w:pPr>
        <w:spacing w:line="520" w:lineRule="exact"/>
        <w:ind w:right="600" w:firstLine="3360" w:firstLineChars="1200"/>
        <w:rPr>
          <w:rFonts w:ascii="仿宋_GB2312" w:hAnsi="仿宋_GB2312" w:eastAsia="仿宋_GB2312" w:cs="仿宋_GB2312"/>
          <w:sz w:val="28"/>
          <w:szCs w:val="28"/>
          <w:u w:val="single"/>
        </w:rPr>
      </w:pPr>
    </w:p>
    <w:p>
      <w:pPr>
        <w:spacing w:line="520" w:lineRule="exact"/>
        <w:ind w:right="600" w:firstLine="3360" w:firstLineChars="1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2022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16 </w:t>
      </w:r>
      <w:r>
        <w:rPr>
          <w:rFonts w:hint="eastAsia" w:ascii="仿宋_GB2312" w:hAnsi="仿宋_GB2312" w:eastAsia="仿宋_GB2312" w:cs="仿宋_GB2312"/>
          <w:sz w:val="28"/>
          <w:szCs w:val="28"/>
        </w:rPr>
        <w:t>日</w:t>
      </w:r>
    </w:p>
    <w:bookmarkEnd w:id="120"/>
    <w:p>
      <w:pPr>
        <w:spacing w:line="360" w:lineRule="auto"/>
        <w:rPr>
          <w:rFonts w:ascii="宋体" w:hAnsi="宋体" w:cs="宋体"/>
          <w:sz w:val="24"/>
          <w:shd w:val="clear" w:color="auto" w:fill="FFFF00"/>
        </w:rPr>
      </w:pPr>
    </w:p>
    <w:p>
      <w:pPr>
        <w:widowControl/>
        <w:spacing w:line="360" w:lineRule="auto"/>
        <w:jc w:val="left"/>
        <w:rPr>
          <w:rFonts w:ascii="宋体" w:hAnsi="宋体" w:cs="宋体"/>
          <w:sz w:val="24"/>
          <w:lang w:val="zh-CN"/>
        </w:rPr>
      </w:pPr>
    </w:p>
    <w:p>
      <w:pPr>
        <w:widowControl/>
        <w:spacing w:line="360" w:lineRule="auto"/>
        <w:jc w:val="left"/>
        <w:rPr>
          <w:rFonts w:ascii="宋体" w:hAnsi="宋体" w:cs="宋体"/>
          <w:sz w:val="24"/>
          <w:lang w:val="zh-CN"/>
        </w:rPr>
      </w:pPr>
      <w:r>
        <w:rPr>
          <w:rFonts w:hint="eastAsia" w:ascii="宋体" w:hAnsi="宋体" w:cs="宋体"/>
          <w:sz w:val="24"/>
          <w:lang w:val="zh-CN"/>
        </w:rPr>
        <w:t xml:space="preserve"> </w:t>
      </w:r>
    </w:p>
    <w:p>
      <w:pPr>
        <w:widowControl/>
        <w:spacing w:line="360" w:lineRule="auto"/>
        <w:jc w:val="left"/>
        <w:rPr>
          <w:rFonts w:ascii="宋体" w:hAnsi="宋体" w:cs="宋体"/>
          <w:b/>
          <w:kern w:val="44"/>
          <w:sz w:val="36"/>
        </w:rPr>
      </w:pPr>
      <w:r>
        <w:rPr>
          <w:rFonts w:ascii="宋体" w:hAnsi="宋体" w:cs="宋体"/>
          <w:sz w:val="24"/>
          <w:szCs w:val="24"/>
        </w:rPr>
        <w:br w:type="page"/>
      </w:r>
    </w:p>
    <w:p>
      <w:pPr>
        <w:pStyle w:val="3"/>
        <w:numPr>
          <w:ilvl w:val="0"/>
          <w:numId w:val="1"/>
        </w:numPr>
        <w:spacing w:before="20" w:after="260" w:line="640" w:lineRule="exact"/>
        <w:jc w:val="center"/>
        <w:rPr>
          <w:rFonts w:ascii="方正小标宋简体" w:hAnsi="方正小标宋简体" w:eastAsia="方正小标宋简体" w:cs="方正小标宋简体"/>
          <w:b w:val="0"/>
          <w:bCs w:val="0"/>
          <w:sz w:val="32"/>
          <w:szCs w:val="32"/>
        </w:rPr>
      </w:pPr>
      <w:bookmarkStart w:id="18" w:name="_Toc466206534"/>
      <w:bookmarkStart w:id="19" w:name="_Toc116568284"/>
      <w:r>
        <w:rPr>
          <w:rFonts w:hint="eastAsia" w:ascii="方正小标宋简体" w:hAnsi="方正小标宋简体" w:eastAsia="方正小标宋简体" w:cs="方正小标宋简体"/>
          <w:b w:val="0"/>
          <w:bCs w:val="0"/>
          <w:sz w:val="32"/>
          <w:szCs w:val="32"/>
        </w:rPr>
        <w:t xml:space="preserve"> 谈判须知</w:t>
      </w:r>
      <w:bookmarkEnd w:id="5"/>
      <w:bookmarkEnd w:id="6"/>
      <w:bookmarkEnd w:id="7"/>
      <w:bookmarkEnd w:id="8"/>
      <w:bookmarkEnd w:id="9"/>
      <w:bookmarkEnd w:id="18"/>
      <w:bookmarkEnd w:id="19"/>
      <w:bookmarkStart w:id="20" w:name="_Toc184283909"/>
      <w:bookmarkStart w:id="21" w:name="_Toc116568285"/>
      <w:bookmarkStart w:id="22" w:name="_Toc184274915"/>
    </w:p>
    <w:p>
      <w:pPr>
        <w:pStyle w:val="3"/>
        <w:spacing w:before="20" w:after="260" w:line="640" w:lineRule="exact"/>
        <w:outlineLvl w:val="1"/>
        <w:rPr>
          <w:rFonts w:ascii="黑体" w:hAnsi="黑体" w:eastAsia="黑体" w:cs="黑体"/>
          <w:b w:val="0"/>
          <w:bCs w:val="0"/>
          <w:sz w:val="28"/>
          <w:szCs w:val="28"/>
        </w:rPr>
      </w:pPr>
      <w:r>
        <w:rPr>
          <w:rFonts w:hint="eastAsia" w:ascii="黑体" w:hAnsi="黑体" w:eastAsia="黑体" w:cs="黑体"/>
          <w:b w:val="0"/>
          <w:bCs w:val="0"/>
          <w:sz w:val="28"/>
          <w:szCs w:val="28"/>
        </w:rPr>
        <w:t>一、谈判须知前附表</w:t>
      </w:r>
      <w:bookmarkEnd w:id="10"/>
      <w:bookmarkEnd w:id="11"/>
      <w:bookmarkEnd w:id="12"/>
      <w:bookmarkEnd w:id="13"/>
      <w:bookmarkEnd w:id="20"/>
      <w:bookmarkEnd w:id="21"/>
      <w:bookmarkEnd w:id="22"/>
      <w:bookmarkStart w:id="23" w:name="_Toc183582204"/>
      <w:bookmarkStart w:id="24" w:name="_Toc89075873"/>
      <w:bookmarkStart w:id="25" w:name="_Toc217446033"/>
      <w:bookmarkStart w:id="26" w:name="_Toc77400778"/>
      <w:bookmarkStart w:id="27" w:name="_Toc183682341"/>
    </w:p>
    <w:tbl>
      <w:tblPr>
        <w:tblStyle w:val="19"/>
        <w:tblW w:w="929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4"/>
        <w:gridCol w:w="2333"/>
        <w:gridCol w:w="61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6" w:hRule="exact"/>
          <w:tblHeader/>
          <w:jc w:val="center"/>
        </w:trPr>
        <w:tc>
          <w:tcPr>
            <w:tcW w:w="844"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333"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条款名称</w:t>
            </w:r>
          </w:p>
        </w:tc>
        <w:tc>
          <w:tcPr>
            <w:tcW w:w="6117"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说明和要求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4" w:hRule="atLeas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名  称：</w:t>
            </w:r>
            <w:r>
              <w:rPr>
                <w:rFonts w:hint="eastAsia" w:ascii="仿宋_GB2312" w:hAnsi="仿宋_GB2312" w:eastAsia="仿宋_GB2312" w:cs="仿宋_GB2312"/>
                <w:bCs/>
                <w:sz w:val="24"/>
                <w:szCs w:val="24"/>
              </w:rPr>
              <w:t>四川能投广元燃气发电有限公司</w:t>
            </w:r>
            <w:r>
              <w:rPr>
                <w:rFonts w:hint="eastAsia" w:ascii="仿宋_GB2312" w:hAnsi="仿宋_GB2312" w:eastAsia="仿宋_GB2312" w:cs="仿宋_GB2312"/>
                <w:sz w:val="24"/>
                <w:szCs w:val="24"/>
              </w:rPr>
              <w:t xml:space="preserve"> </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bCs/>
                <w:sz w:val="24"/>
                <w:szCs w:val="24"/>
              </w:rPr>
              <w:t>成都市武侯区天府大道中段279号成达大厦10楼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7" w:hRule="exac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采购项目名称</w:t>
            </w:r>
          </w:p>
        </w:tc>
        <w:tc>
          <w:tcPr>
            <w:tcW w:w="6117"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bCs/>
                <w:sz w:val="24"/>
                <w:szCs w:val="24"/>
              </w:rPr>
              <w:t>四川能投广元燃机工程</w:t>
            </w:r>
            <w:r>
              <w:rPr>
                <w:rFonts w:hint="eastAsia" w:ascii="仿宋_GB2312" w:hAnsi="仿宋_GB2312" w:eastAsia="仿宋_GB2312" w:cs="仿宋_GB2312"/>
                <w:bCs/>
                <w:sz w:val="24"/>
                <w:szCs w:val="24"/>
                <w:lang w:eastAsia="zh-CN"/>
              </w:rPr>
              <w:t>第二批至第五批辅机设备招标工作协助服务单位选聘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exac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资金来源</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采购人自筹资金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7" w:hRule="exac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公开竞争性谈判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 w:hRule="atLeas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服务期限</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合同签订后至辅机设备招标完成。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7" w:hRule="exac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质量要求</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出具辅机招标文件、技术规范书审查建议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4" w:hRule="atLeas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□接受；</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不接受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答疑会</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不召开</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□召开，召开时间：</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召开地点：</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注：本项为单项选择。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5" w:hRule="atLeas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响应人对竞争性谈判文件提出质疑的时间</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自竞争性谈判文件发售时间起的</w:t>
            </w:r>
            <w:r>
              <w:rPr>
                <w:rFonts w:hint="eastAsia" w:ascii="仿宋_GB2312" w:hAnsi="仿宋_GB2312" w:eastAsia="仿宋_GB2312" w:cs="仿宋_GB2312"/>
                <w:sz w:val="24"/>
                <w:szCs w:val="24"/>
                <w:u w:val="single"/>
              </w:rPr>
              <w:t>3</w:t>
            </w:r>
            <w:r>
              <w:rPr>
                <w:rFonts w:hint="eastAsia" w:ascii="仿宋_GB2312" w:hAnsi="仿宋_GB2312" w:eastAsia="仿宋_GB2312" w:cs="仿宋_GB2312"/>
                <w:sz w:val="24"/>
                <w:szCs w:val="24"/>
              </w:rPr>
              <w:t>个工作日内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1" w:hRule="exac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分包</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不允许</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□允许</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注：本项为单项选择。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4" w:hRule="exac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构成竞争性谈判文件的其他文件</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竞争性谈判文件的澄清、修改书及有关补充通知为竞争性谈判文件的有效组成部分。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0" w:hRule="exac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谈判有效期</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谈判截止时间后</w:t>
            </w:r>
            <w:r>
              <w:rPr>
                <w:rFonts w:hint="eastAsia" w:ascii="仿宋_GB2312" w:hAnsi="仿宋_GB2312" w:eastAsia="仿宋_GB2312" w:cs="仿宋_GB2312"/>
                <w:sz w:val="24"/>
                <w:szCs w:val="24"/>
                <w:u w:val="single"/>
              </w:rPr>
              <w:t>30</w:t>
            </w:r>
            <w:r>
              <w:rPr>
                <w:rFonts w:hint="eastAsia" w:ascii="仿宋_GB2312" w:hAnsi="仿宋_GB2312" w:eastAsia="仿宋_GB2312" w:cs="仿宋_GB2312"/>
                <w:sz w:val="24"/>
                <w:szCs w:val="24"/>
              </w:rPr>
              <w:t>个日历天内。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6" w:hRule="exac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签字盖章</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响应人必须按照竞争性谈判文件的规定和要求签字、盖章(法人代表的签字可用具有法定效力的签字章)。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3" w:hRule="exac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竞谈响应文件份数</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份；电子文档U盘</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75" w:hRule="atLeast"/>
          <w:jc w:val="center"/>
        </w:trPr>
        <w:tc>
          <w:tcPr>
            <w:tcW w:w="844" w:type="dxa"/>
            <w:tcBorders>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33" w:type="dxa"/>
            <w:tcBorders>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竞谈响应文件封面的</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标注</w:t>
            </w:r>
          </w:p>
        </w:tc>
        <w:tc>
          <w:tcPr>
            <w:tcW w:w="6117" w:type="dxa"/>
            <w:tcBorders>
              <w:bottom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竞谈响应文件正本和副本的封面上均应标明：竞争性谈判项目名称、标段号(如涉及则标明)、响应人名称、年月日；并分别在右上角标明“正本”和“副本”字样。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6" w:hRule="atLeast"/>
          <w:jc w:val="center"/>
        </w:trPr>
        <w:tc>
          <w:tcPr>
            <w:tcW w:w="844" w:type="dxa"/>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33" w:type="dxa"/>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竞谈响应文件外层</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密封袋的标注</w:t>
            </w:r>
          </w:p>
        </w:tc>
        <w:tc>
          <w:tcPr>
            <w:tcW w:w="6117" w:type="dxa"/>
            <w:tcBorders>
              <w:top w:val="single" w:color="auto" w:sz="4" w:space="0"/>
              <w:bottom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竞争性谈判项目名称、标段号(如涉及则标明)、响应人名称、年月日。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是否授权谈判小组直接确定成交响应人</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否，推荐成交候选响应人的数量：</w:t>
            </w:r>
            <w:r>
              <w:rPr>
                <w:rFonts w:hint="eastAsia" w:ascii="仿宋_GB2312" w:hAnsi="仿宋_GB2312" w:eastAsia="仿宋_GB2312" w:cs="仿宋_GB2312"/>
                <w:sz w:val="24"/>
                <w:szCs w:val="24"/>
                <w:u w:val="single"/>
              </w:rPr>
              <w:t xml:space="preserve"> 1</w:t>
            </w:r>
            <w:r>
              <w:rPr>
                <w:rFonts w:hint="eastAsia" w:ascii="宋体" w:hAnsi="宋体" w:cs="宋体"/>
                <w:sz w:val="24"/>
                <w:szCs w:val="24"/>
                <w:u w:val="single"/>
              </w:rPr>
              <w:t>～</w:t>
            </w:r>
            <w:r>
              <w:rPr>
                <w:rFonts w:hint="eastAsia" w:ascii="仿宋_GB2312" w:hAnsi="仿宋_GB2312" w:eastAsia="仿宋_GB2312" w:cs="仿宋_GB2312"/>
                <w:sz w:val="24"/>
                <w:szCs w:val="24"/>
                <w:u w:val="single"/>
              </w:rPr>
              <w:t xml:space="preserve">3 </w:t>
            </w:r>
            <w:r>
              <w:rPr>
                <w:rFonts w:hint="eastAsia" w:ascii="仿宋_GB2312" w:hAnsi="仿宋_GB2312" w:eastAsia="仿宋_GB2312" w:cs="仿宋_GB2312"/>
                <w:sz w:val="24"/>
                <w:szCs w:val="24"/>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竞谈保证金</w:t>
            </w:r>
          </w:p>
        </w:tc>
        <w:tc>
          <w:tcPr>
            <w:tcW w:w="6117" w:type="dxa"/>
            <w:vAlign w:val="center"/>
          </w:tcPr>
          <w:p>
            <w:pPr>
              <w:pStyle w:val="23"/>
              <w:spacing w:before="6"/>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无需缴纳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84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6117" w:type="dxa"/>
            <w:vAlign w:val="center"/>
          </w:tcPr>
          <w:p>
            <w:pPr>
              <w:pStyle w:val="23"/>
              <w:spacing w:before="6"/>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无需缴纳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jc w:val="center"/>
        </w:trPr>
        <w:tc>
          <w:tcPr>
            <w:tcW w:w="844" w:type="dxa"/>
            <w:vAlign w:val="center"/>
          </w:tcPr>
          <w:p>
            <w:pPr>
              <w:pStyle w:val="23"/>
              <w:ind w:right="120" w:rightChars="5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20</w:t>
            </w:r>
          </w:p>
        </w:tc>
        <w:tc>
          <w:tcPr>
            <w:tcW w:w="2333" w:type="dxa"/>
            <w:vAlign w:val="center"/>
          </w:tcPr>
          <w:p>
            <w:pPr>
              <w:jc w:val="center"/>
              <w:rPr>
                <w:rFonts w:ascii="仿宋_GB2312" w:hAnsi="仿宋_GB2312" w:eastAsia="仿宋_GB2312" w:cs="仿宋_GB2312"/>
                <w:sz w:val="24"/>
                <w:szCs w:val="24"/>
                <w:lang w:bidi="zh-CN"/>
              </w:rPr>
            </w:pPr>
            <w:r>
              <w:rPr>
                <w:rFonts w:hint="eastAsia" w:ascii="仿宋_GB2312" w:hAnsi="仿宋_GB2312" w:eastAsia="仿宋_GB2312" w:cs="仿宋_GB2312"/>
                <w:sz w:val="24"/>
                <w:szCs w:val="24"/>
              </w:rPr>
              <w:t>特别说明</w:t>
            </w:r>
          </w:p>
        </w:tc>
        <w:tc>
          <w:tcPr>
            <w:tcW w:w="6117" w:type="dxa"/>
            <w:vAlign w:val="center"/>
          </w:tcPr>
          <w:p>
            <w:pPr>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rPr>
              <w:t>如本竞争性谈判文件谈判须知前附表所述内容与竞争性谈判文件谈判须知所述内容不一致或竞争性谈判文件谈判须知中表述不明时，以谈判须知前附表的所述内容为准。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9" w:hRule="atLeast"/>
          <w:jc w:val="center"/>
        </w:trPr>
        <w:tc>
          <w:tcPr>
            <w:tcW w:w="844" w:type="dxa"/>
            <w:vAlign w:val="center"/>
          </w:tcPr>
          <w:p>
            <w:pPr>
              <w:pStyle w:val="23"/>
              <w:ind w:right="120" w:rightChars="5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21</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一般要求</w:t>
            </w:r>
          </w:p>
        </w:tc>
        <w:tc>
          <w:tcPr>
            <w:tcW w:w="6117" w:type="dxa"/>
            <w:vAlign w:val="center"/>
          </w:tcPr>
          <w:p>
            <w:pPr>
              <w:snapToGrid w:val="0"/>
              <w:rPr>
                <w:rFonts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1.必须具有中华人民共和国独立法人资格，独立履行民事责任能力；</w:t>
            </w:r>
          </w:p>
          <w:p>
            <w:pPr>
              <w:snapToGrid w:val="0"/>
              <w:rPr>
                <w:rFonts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2.具有依法缴纳税收和社会保障资金的良好记录；</w:t>
            </w:r>
          </w:p>
          <w:p>
            <w:pPr>
              <w:snapToGrid w:val="0"/>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3.具有履行合同所必需专业技术能力。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jc w:val="center"/>
        </w:trPr>
        <w:tc>
          <w:tcPr>
            <w:tcW w:w="844" w:type="dxa"/>
            <w:vAlign w:val="center"/>
          </w:tcPr>
          <w:p>
            <w:pPr>
              <w:pStyle w:val="23"/>
              <w:ind w:right="120" w:rightChars="5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22</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业绩要求</w:t>
            </w:r>
          </w:p>
        </w:tc>
        <w:tc>
          <w:tcPr>
            <w:tcW w:w="6117" w:type="dxa"/>
            <w:vAlign w:val="center"/>
          </w:tcPr>
          <w:p>
            <w:pPr>
              <w:snapToGrid w:val="0"/>
              <w:spacing w:line="520" w:lineRule="exact"/>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具有1个火电、燃气发电等类似发电项目相关设备招标或建设工作业绩。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5" w:hRule="atLeast"/>
          <w:jc w:val="center"/>
        </w:trPr>
        <w:tc>
          <w:tcPr>
            <w:tcW w:w="844" w:type="dxa"/>
            <w:vAlign w:val="center"/>
          </w:tcPr>
          <w:p>
            <w:pPr>
              <w:pStyle w:val="23"/>
              <w:ind w:right="120" w:rightChars="5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23</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信誉要求</w:t>
            </w:r>
          </w:p>
        </w:tc>
        <w:tc>
          <w:tcPr>
            <w:tcW w:w="6117"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pacing w:val="10"/>
                <w:sz w:val="24"/>
                <w:szCs w:val="24"/>
              </w:rPr>
              <w:t>近3年（2019年1月1日</w:t>
            </w:r>
            <w:r>
              <w:rPr>
                <w:rFonts w:hint="eastAsia" w:ascii="宋体" w:hAnsi="宋体" w:cs="宋体"/>
                <w:spacing w:val="10"/>
                <w:sz w:val="24"/>
                <w:szCs w:val="24"/>
              </w:rPr>
              <w:t>～</w:t>
            </w:r>
            <w:r>
              <w:rPr>
                <w:rFonts w:hint="eastAsia" w:ascii="仿宋_GB2312" w:hAnsi="仿宋_GB2312" w:eastAsia="仿宋_GB2312" w:cs="仿宋_GB2312"/>
                <w:spacing w:val="10"/>
                <w:sz w:val="24"/>
                <w:szCs w:val="24"/>
              </w:rPr>
              <w:t>2021年12月31日），响应人没有处于投标禁入期；响应人没有处于被责令停产、财产被接管、冻结或破产状态；响应人在国内招投标活动、合同履行、服务及产品运行过程中，未受到公开通报批评，在生产经营活动中没有重大违法记录（附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844" w:type="dxa"/>
            <w:vAlign w:val="center"/>
          </w:tcPr>
          <w:p>
            <w:pPr>
              <w:pStyle w:val="23"/>
              <w:ind w:left="-210" w:leftChars="-100" w:right="120" w:rightChars="57"/>
              <w:jc w:val="center"/>
              <w:rPr>
                <w:rFonts w:ascii="仿宋_GB2312" w:hAnsi="仿宋_GB2312" w:eastAsia="仿宋_GB2312" w:cs="仿宋_GB2312"/>
                <w:sz w:val="24"/>
                <w:szCs w:val="24"/>
                <w:lang w:val="en-US" w:bidi="ar-SA"/>
              </w:rPr>
            </w:pPr>
            <w:r>
              <w:rPr>
                <w:rFonts w:hint="eastAsia" w:ascii="仿宋_GB2312" w:hAnsi="仿宋_GB2312" w:eastAsia="仿宋_GB2312" w:cs="仿宋_GB2312"/>
                <w:sz w:val="24"/>
                <w:szCs w:val="24"/>
                <w:lang w:val="en-US" w:bidi="ar-SA"/>
              </w:rPr>
              <w:t>24</w:t>
            </w:r>
          </w:p>
        </w:tc>
        <w:tc>
          <w:tcPr>
            <w:tcW w:w="2333" w:type="dxa"/>
            <w:vAlign w:val="center"/>
          </w:tcPr>
          <w:p>
            <w:pPr>
              <w:ind w:firstLine="520" w:firstLineChars="200"/>
              <w:rPr>
                <w:rFonts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资质要求</w:t>
            </w:r>
          </w:p>
        </w:tc>
        <w:tc>
          <w:tcPr>
            <w:tcW w:w="6117" w:type="dxa"/>
            <w:vAlign w:val="center"/>
          </w:tcPr>
          <w:p>
            <w:pPr>
              <w:rPr>
                <w:rFonts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1.中华人民共和国境内注册的独立法人资格企业，经营范围具有工程管理服务；并在人员、设备、资金等方面具有相应的能力；</w:t>
            </w:r>
          </w:p>
          <w:p>
            <w:pPr>
              <w:rPr>
                <w:rFonts w:ascii="仿宋_GB2312" w:hAnsi="仿宋_GB2312" w:eastAsia="仿宋_GB2312" w:cs="仿宋_GB2312"/>
                <w:spacing w:val="10"/>
                <w:sz w:val="24"/>
                <w:szCs w:val="24"/>
                <w:lang w:val="zh-CN"/>
              </w:rPr>
            </w:pPr>
            <w:r>
              <w:rPr>
                <w:rFonts w:hint="eastAsia" w:ascii="仿宋_GB2312" w:hAnsi="仿宋_GB2312" w:eastAsia="仿宋_GB2312" w:cs="仿宋_GB2312"/>
                <w:spacing w:val="10"/>
                <w:sz w:val="24"/>
                <w:szCs w:val="24"/>
              </w:rPr>
              <w:t>2.项目负责人具有高级工程师资格证书。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844" w:type="dxa"/>
            <w:vAlign w:val="center"/>
          </w:tcPr>
          <w:p>
            <w:pPr>
              <w:pStyle w:val="23"/>
              <w:ind w:left="-210" w:leftChars="-100" w:right="120" w:rightChars="5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25</w:t>
            </w:r>
          </w:p>
        </w:tc>
        <w:tc>
          <w:tcPr>
            <w:tcW w:w="2333" w:type="dxa"/>
            <w:vAlign w:val="center"/>
          </w:tcPr>
          <w:p>
            <w:pPr>
              <w:jc w:val="center"/>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rPr>
              <w:t>装订</w:t>
            </w:r>
          </w:p>
        </w:tc>
        <w:tc>
          <w:tcPr>
            <w:tcW w:w="6117" w:type="dxa"/>
            <w:vAlign w:val="center"/>
          </w:tcPr>
          <w:p>
            <w:pPr>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rPr>
              <w:t>应采用胶粘等固定形式装订，不允许采用活页、活扣形式装订。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844" w:type="dxa"/>
            <w:vAlign w:val="center"/>
          </w:tcPr>
          <w:p>
            <w:pPr>
              <w:pStyle w:val="23"/>
              <w:ind w:left="-210" w:leftChars="-100" w:right="120" w:rightChars="57"/>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26</w:t>
            </w:r>
          </w:p>
        </w:tc>
        <w:tc>
          <w:tcPr>
            <w:tcW w:w="233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控制价</w:t>
            </w:r>
          </w:p>
        </w:tc>
        <w:tc>
          <w:tcPr>
            <w:tcW w:w="611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89.77万元。</w:t>
            </w:r>
          </w:p>
        </w:tc>
      </w:tr>
    </w:tbl>
    <w:p>
      <w:pPr>
        <w:spacing w:line="360" w:lineRule="auto"/>
        <w:jc w:val="center"/>
        <w:rPr>
          <w:rFonts w:ascii="宋体" w:hAnsi="宋体" w:cs="宋体"/>
        </w:rPr>
      </w:pPr>
    </w:p>
    <w:p>
      <w:pPr>
        <w:pStyle w:val="4"/>
        <w:spacing w:before="20" w:after="20" w:line="600" w:lineRule="exact"/>
        <w:ind w:firstLine="643" w:firstLineChars="200"/>
        <w:jc w:val="left"/>
        <w:rPr>
          <w:rFonts w:ascii="黑体" w:hAnsi="黑体" w:eastAsia="黑体" w:cs="黑体"/>
          <w:b w:val="0"/>
          <w:bCs w:val="0"/>
          <w:kern w:val="44"/>
          <w:sz w:val="28"/>
          <w:szCs w:val="28"/>
        </w:rPr>
      </w:pPr>
      <w:bookmarkStart w:id="28" w:name="_Toc325464814"/>
      <w:r>
        <w:rPr>
          <w:rFonts w:hint="eastAsia" w:ascii="宋体" w:hAnsi="宋体" w:cs="宋体"/>
        </w:rPr>
        <w:br w:type="page"/>
      </w:r>
      <w:bookmarkStart w:id="29" w:name="_Toc116568286"/>
      <w:r>
        <w:rPr>
          <w:rFonts w:hint="eastAsia" w:ascii="黑体" w:hAnsi="黑体" w:eastAsia="黑体" w:cs="黑体"/>
          <w:b w:val="0"/>
          <w:bCs w:val="0"/>
          <w:kern w:val="44"/>
          <w:sz w:val="28"/>
          <w:szCs w:val="28"/>
        </w:rPr>
        <w:t>二、总则</w:t>
      </w:r>
      <w:bookmarkEnd w:id="23"/>
      <w:bookmarkEnd w:id="24"/>
      <w:bookmarkEnd w:id="25"/>
      <w:bookmarkEnd w:id="26"/>
      <w:bookmarkEnd w:id="27"/>
      <w:bookmarkEnd w:id="28"/>
      <w:bookmarkEnd w:id="29"/>
    </w:p>
    <w:p>
      <w:pPr>
        <w:pStyle w:val="4"/>
        <w:spacing w:before="0" w:after="0" w:line="520" w:lineRule="exact"/>
        <w:ind w:firstLine="562" w:firstLineChars="200"/>
        <w:jc w:val="left"/>
        <w:outlineLvl w:val="2"/>
        <w:rPr>
          <w:rFonts w:ascii="仿宋_GB2312" w:hAnsi="仿宋_GB2312" w:eastAsia="仿宋_GB2312" w:cs="仿宋_GB2312"/>
          <w:sz w:val="28"/>
          <w:szCs w:val="28"/>
        </w:rPr>
      </w:pPr>
      <w:bookmarkStart w:id="30" w:name="_Toc116568287"/>
      <w:r>
        <w:rPr>
          <w:rFonts w:hint="eastAsia" w:ascii="仿宋_GB2312" w:hAnsi="仿宋_GB2312" w:eastAsia="仿宋_GB2312" w:cs="仿宋_GB2312"/>
          <w:sz w:val="28"/>
          <w:szCs w:val="28"/>
        </w:rPr>
        <w:t>1.适用范围</w:t>
      </w:r>
      <w:bookmarkEnd w:id="30"/>
    </w:p>
    <w:p>
      <w:pPr>
        <w:tabs>
          <w:tab w:val="left" w:pos="766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1.1本竞争性谈判文件仅适用于本次竞争性谈判所叙述的</w:t>
      </w:r>
      <w:r>
        <w:rPr>
          <w:rFonts w:hint="eastAsia" w:ascii="仿宋_GB2312" w:hAnsi="仿宋_GB2312" w:eastAsia="仿宋_GB2312" w:cs="仿宋_GB2312"/>
          <w:bCs/>
          <w:sz w:val="28"/>
          <w:szCs w:val="28"/>
          <w:u w:val="single"/>
        </w:rPr>
        <w:t>四川能投广元燃机工程</w:t>
      </w:r>
      <w:r>
        <w:rPr>
          <w:rFonts w:hint="eastAsia" w:ascii="仿宋_GB2312" w:hAnsi="仿宋_GB2312" w:eastAsia="仿宋_GB2312" w:cs="仿宋_GB2312"/>
          <w:bCs/>
          <w:sz w:val="28"/>
          <w:szCs w:val="28"/>
          <w:u w:val="single"/>
          <w:lang w:eastAsia="zh-CN"/>
        </w:rPr>
        <w:t>第二批至第五批辅机设备招标工作协助服务单位选聘</w:t>
      </w:r>
      <w:r>
        <w:rPr>
          <w:rFonts w:hint="eastAsia" w:ascii="仿宋_GB2312" w:hAnsi="仿宋_GB2312" w:eastAsia="仿宋_GB2312" w:cs="仿宋_GB2312"/>
          <w:sz w:val="28"/>
          <w:szCs w:val="28"/>
        </w:rPr>
        <w:t>项目采购。</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31" w:name="_Toc116568288"/>
      <w:r>
        <w:rPr>
          <w:rFonts w:hint="eastAsia" w:ascii="仿宋_GB2312" w:hAnsi="仿宋_GB2312" w:eastAsia="仿宋_GB2312" w:cs="仿宋_GB2312"/>
          <w:sz w:val="28"/>
          <w:szCs w:val="28"/>
        </w:rPr>
        <w:t>2.有关定义</w:t>
      </w:r>
      <w:bookmarkEnd w:id="31"/>
    </w:p>
    <w:p>
      <w:pPr>
        <w:tabs>
          <w:tab w:val="left" w:pos="766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2.1本次竞争性谈判的采购人是</w:t>
      </w:r>
      <w:r>
        <w:rPr>
          <w:rFonts w:hint="eastAsia" w:ascii="仿宋_GB2312" w:hAnsi="仿宋_GB2312" w:eastAsia="仿宋_GB2312" w:cs="仿宋_GB2312"/>
          <w:bCs/>
          <w:sz w:val="28"/>
          <w:szCs w:val="28"/>
          <w:u w:val="single"/>
        </w:rPr>
        <w:t>四川能投广元燃气发电有限公司</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 xml:space="preserve"> </w:t>
      </w:r>
    </w:p>
    <w:p>
      <w:pPr>
        <w:tabs>
          <w:tab w:val="left" w:pos="766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2.2“采购人”系指 “采购单位”和“采购承办单位”的统称。</w:t>
      </w:r>
    </w:p>
    <w:p>
      <w:pPr>
        <w:tabs>
          <w:tab w:val="left" w:pos="766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2.3“响应人”系指购买了竞争性谈判文件拟参加谈判和向采购人提供相应服务的法人企业或其它组织。</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32" w:name="_Toc116568289"/>
      <w:r>
        <w:rPr>
          <w:rFonts w:hint="eastAsia" w:ascii="仿宋_GB2312" w:hAnsi="仿宋_GB2312" w:eastAsia="仿宋_GB2312" w:cs="仿宋_GB2312"/>
          <w:sz w:val="28"/>
          <w:szCs w:val="28"/>
        </w:rPr>
        <w:t>3.合格的响应人</w:t>
      </w:r>
      <w:bookmarkEnd w:id="32"/>
    </w:p>
    <w:p>
      <w:pPr>
        <w:pStyle w:val="5"/>
        <w:spacing w:before="0" w:beforeAutospacing="0" w:after="0" w:afterAutospacing="0" w:line="520" w:lineRule="exact"/>
        <w:ind w:firstLine="600" w:firstLineChars="200"/>
        <w:rPr>
          <w:rFonts w:ascii="仿宋_GB2312" w:hAnsi="仿宋_GB2312" w:eastAsia="仿宋_GB2312" w:cs="仿宋_GB2312"/>
          <w:b w:val="0"/>
          <w:sz w:val="28"/>
          <w:szCs w:val="28"/>
        </w:rPr>
      </w:pPr>
      <w:bookmarkStart w:id="33" w:name="_Toc116568290"/>
      <w:r>
        <w:rPr>
          <w:rFonts w:hint="eastAsia" w:ascii="仿宋_GB2312" w:hAnsi="仿宋_GB2312" w:eastAsia="仿宋_GB2312" w:cs="仿宋_GB2312"/>
          <w:b w:val="0"/>
          <w:spacing w:val="10"/>
          <w:sz w:val="28"/>
          <w:szCs w:val="28"/>
        </w:rPr>
        <w:t>3.1竞谈响应人应遵守有关的国家法律、法规和条例，具备本文件中规定的条件：</w:t>
      </w:r>
      <w:bookmarkEnd w:id="33"/>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（1）具有独立承担民事责任的能力</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（2）具有良好的商业信誉和健全的财务会计制度</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（3）具有履行合同所必需的设备和专业技术能力</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（4）具有依法缴纳税收和社会保障资金的良好记录</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（5）参加此项采购活动前三年内，在经营活动中没有重大违法记录</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（6）法律、行政法规规定的其他条件</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（7）具有本谈判文件对竞谈响应人所规定的资质条件</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3.2竞谈响应人必须是已在中国境内依法登记注册的响应人，持有有效期内营业执照或者事业单位法人证书。否则，采购人及谈判小组有权拒绝其本次报价。</w:t>
      </w:r>
    </w:p>
    <w:p>
      <w:pPr>
        <w:pStyle w:val="24"/>
        <w:snapToGrid w:val="0"/>
        <w:spacing w:line="520" w:lineRule="exact"/>
        <w:ind w:firstLine="600" w:firstLineChars="200"/>
        <w:jc w:val="left"/>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3.3依法注册的响应人其注册资金应足以保证本项目实施过程中的风险承担和赔付能力。</w:t>
      </w:r>
    </w:p>
    <w:p>
      <w:pPr>
        <w:tabs>
          <w:tab w:val="left" w:pos="7665"/>
        </w:tabs>
        <w:spacing w:line="520" w:lineRule="exact"/>
        <w:ind w:firstLine="562" w:firstLineChars="200"/>
        <w:outlineLvl w:val="2"/>
        <w:rPr>
          <w:rFonts w:ascii="仿宋_GB2312" w:hAnsi="仿宋_GB2312" w:eastAsia="仿宋_GB2312" w:cs="仿宋_GB2312"/>
          <w:b/>
          <w:sz w:val="28"/>
          <w:szCs w:val="28"/>
        </w:rPr>
      </w:pPr>
      <w:r>
        <w:rPr>
          <w:rFonts w:hint="eastAsia" w:ascii="仿宋_GB2312" w:hAnsi="仿宋_GB2312" w:eastAsia="仿宋_GB2312" w:cs="仿宋_GB2312"/>
          <w:b/>
          <w:sz w:val="28"/>
          <w:szCs w:val="28"/>
        </w:rPr>
        <w:t>4．谈判费用</w:t>
      </w:r>
    </w:p>
    <w:p>
      <w:pPr>
        <w:tabs>
          <w:tab w:val="left" w:pos="7665"/>
        </w:tabs>
        <w:spacing w:line="52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4.1谈判响应人参加谈判的有关一切费用由响应人自行承担。</w:t>
      </w:r>
    </w:p>
    <w:p>
      <w:pPr>
        <w:pStyle w:val="4"/>
        <w:spacing w:before="20" w:after="20" w:line="600" w:lineRule="exact"/>
        <w:ind w:firstLine="560" w:firstLineChars="200"/>
        <w:jc w:val="left"/>
        <w:rPr>
          <w:rFonts w:ascii="黑体" w:hAnsi="黑体" w:eastAsia="黑体" w:cs="黑体"/>
          <w:b w:val="0"/>
          <w:bCs w:val="0"/>
          <w:kern w:val="44"/>
          <w:sz w:val="28"/>
          <w:szCs w:val="28"/>
        </w:rPr>
      </w:pPr>
      <w:bookmarkStart w:id="34" w:name="_Toc116568291"/>
      <w:r>
        <w:rPr>
          <w:rFonts w:hint="eastAsia" w:ascii="黑体" w:hAnsi="黑体" w:eastAsia="黑体" w:cs="黑体"/>
          <w:b w:val="0"/>
          <w:bCs w:val="0"/>
          <w:kern w:val="44"/>
          <w:sz w:val="28"/>
          <w:szCs w:val="28"/>
        </w:rPr>
        <w:t>三、竞争性谈判文件</w:t>
      </w:r>
      <w:bookmarkEnd w:id="34"/>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35" w:name="_Toc116568292"/>
      <w:r>
        <w:rPr>
          <w:rFonts w:hint="eastAsia" w:ascii="仿宋_GB2312" w:hAnsi="仿宋_GB2312" w:eastAsia="仿宋_GB2312" w:cs="仿宋_GB2312"/>
          <w:sz w:val="28"/>
          <w:szCs w:val="28"/>
        </w:rPr>
        <w:t>5.竞争性谈判文件的构成</w:t>
      </w:r>
      <w:bookmarkEnd w:id="35"/>
    </w:p>
    <w:p>
      <w:pPr>
        <w:snapToGrid w:val="0"/>
        <w:spacing w:line="520" w:lineRule="exact"/>
        <w:ind w:firstLine="560" w:firstLineChars="200"/>
        <w:rPr>
          <w:rFonts w:ascii="仿宋_GB2312" w:hAnsi="仿宋_GB2312" w:eastAsia="仿宋_GB2312" w:cs="仿宋_GB2312"/>
          <w:spacing w:val="10"/>
          <w:sz w:val="28"/>
          <w:szCs w:val="28"/>
        </w:rPr>
      </w:pPr>
      <w:r>
        <w:rPr>
          <w:rFonts w:hint="eastAsia" w:ascii="仿宋_GB2312" w:hAnsi="仿宋_GB2312" w:eastAsia="仿宋_GB2312" w:cs="仿宋_GB2312"/>
          <w:sz w:val="28"/>
          <w:szCs w:val="28"/>
        </w:rPr>
        <w:t>5.1竞争性谈判文件用以阐明竞争性谈判项目所需的资质、技术、服务、设备及报价等要求、竞争性谈判程序、有关规定和注意事项以及合同主要条款等。本竞争性谈判文件包括</w:t>
      </w:r>
      <w:r>
        <w:rPr>
          <w:rFonts w:hint="eastAsia" w:ascii="仿宋_GB2312" w:hAnsi="仿宋_GB2312" w:eastAsia="仿宋_GB2312" w:cs="仿宋_GB2312"/>
          <w:spacing w:val="10"/>
          <w:sz w:val="28"/>
          <w:szCs w:val="28"/>
        </w:rPr>
        <w:t>以下内容：</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（1）竞争性谈判公告/谈判邀请函</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（2）谈判须知及前附表</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（3）评审办法</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（4）合同条款及格式</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（5）采购人要求</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（6）响应文件格式</w:t>
      </w:r>
    </w:p>
    <w:p>
      <w:pPr>
        <w:tabs>
          <w:tab w:val="left" w:pos="766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b/>
          <w:sz w:val="28"/>
          <w:szCs w:val="28"/>
        </w:rPr>
        <w:t>.</w:t>
      </w:r>
      <w:r>
        <w:rPr>
          <w:rFonts w:hint="eastAsia" w:ascii="仿宋_GB2312" w:hAnsi="仿宋_GB2312" w:eastAsia="仿宋_GB2312" w:cs="仿宋_GB2312"/>
          <w:sz w:val="28"/>
          <w:szCs w:val="28"/>
        </w:rPr>
        <w:t>2 响应人应认真阅读和充分理解竞争性谈判文件中所有的事项、格式条款和规范要求。响应人没有对竞争性谈判文件全面做出实质性响应是响应人的风险。没有按照竞争性谈判文件要求作出实质性响应的响应文件将被拒绝。</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36" w:name="_Toc116568293"/>
      <w:r>
        <w:rPr>
          <w:rFonts w:hint="eastAsia" w:ascii="仿宋_GB2312" w:hAnsi="仿宋_GB2312" w:eastAsia="仿宋_GB2312" w:cs="仿宋_GB2312"/>
          <w:sz w:val="28"/>
          <w:szCs w:val="28"/>
        </w:rPr>
        <w:t>6.竞争性谈判文件的澄清和修改</w:t>
      </w:r>
      <w:bookmarkEnd w:id="36"/>
    </w:p>
    <w:p>
      <w:pPr>
        <w:tabs>
          <w:tab w:val="left" w:pos="72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6.1在谈判截止时间前，采购人无论出于何种原因，可以对竞争性谈判文件进行澄清或者修改。</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6.2在谈判期间，谈判小组根据实际谈判情况，可以对竞争性谈判文件进行澄清或者修改。</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37" w:name="_Toc116568294"/>
      <w:r>
        <w:rPr>
          <w:rFonts w:hint="eastAsia" w:ascii="仿宋_GB2312" w:hAnsi="仿宋_GB2312" w:eastAsia="仿宋_GB2312" w:cs="仿宋_GB2312"/>
          <w:sz w:val="28"/>
          <w:szCs w:val="28"/>
        </w:rPr>
        <w:t>7.答疑会</w:t>
      </w:r>
      <w:bookmarkEnd w:id="37"/>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7.1根据采购项目和具体情况，若有必要召开，将以书面形式通知所有购买了竞争性谈判文件的响应人。</w:t>
      </w:r>
    </w:p>
    <w:p>
      <w:pPr>
        <w:pStyle w:val="4"/>
        <w:spacing w:before="20" w:after="20" w:line="600" w:lineRule="exact"/>
        <w:ind w:firstLine="560" w:firstLineChars="200"/>
        <w:jc w:val="left"/>
        <w:rPr>
          <w:rFonts w:ascii="黑体" w:hAnsi="黑体" w:eastAsia="黑体" w:cs="黑体"/>
          <w:b w:val="0"/>
          <w:bCs w:val="0"/>
          <w:kern w:val="44"/>
          <w:sz w:val="28"/>
          <w:szCs w:val="28"/>
        </w:rPr>
      </w:pPr>
      <w:bookmarkStart w:id="38" w:name="_Toc116568295"/>
      <w:r>
        <w:rPr>
          <w:rFonts w:hint="eastAsia" w:ascii="黑体" w:hAnsi="黑体" w:eastAsia="黑体" w:cs="黑体"/>
          <w:b w:val="0"/>
          <w:bCs w:val="0"/>
          <w:kern w:val="44"/>
          <w:sz w:val="28"/>
          <w:szCs w:val="28"/>
        </w:rPr>
        <w:t>四、响应</w:t>
      </w:r>
      <w:r>
        <w:rPr>
          <w:rFonts w:hint="eastAsia" w:ascii="黑体" w:hAnsi="黑体" w:eastAsia="黑体" w:cs="黑体"/>
          <w:b w:val="0"/>
          <w:bCs w:val="0"/>
          <w:sz w:val="28"/>
          <w:szCs w:val="28"/>
        </w:rPr>
        <w:t>文件</w:t>
      </w:r>
      <w:bookmarkEnd w:id="38"/>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39" w:name="_Toc116568296"/>
      <w:r>
        <w:rPr>
          <w:rFonts w:hint="eastAsia" w:ascii="仿宋_GB2312" w:hAnsi="仿宋_GB2312" w:eastAsia="仿宋_GB2312" w:cs="仿宋_GB2312"/>
          <w:sz w:val="28"/>
          <w:szCs w:val="28"/>
        </w:rPr>
        <w:t>8.响应文件的语言</w:t>
      </w:r>
      <w:bookmarkEnd w:id="39"/>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8.1响应人提交的响应文件以及响应人与采购人就有关谈判的所有来往书面文件均须使用中文。响应文件中如附有外文资料，必须逐一对应翻译成中文并加盖响应人公章后附在相关外文资料后面。</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40" w:name="_Toc116568297"/>
      <w:r>
        <w:rPr>
          <w:rFonts w:hint="eastAsia" w:ascii="仿宋_GB2312" w:hAnsi="仿宋_GB2312" w:eastAsia="仿宋_GB2312" w:cs="仿宋_GB2312"/>
          <w:sz w:val="28"/>
          <w:szCs w:val="28"/>
        </w:rPr>
        <w:t>9.计量单位</w:t>
      </w:r>
      <w:bookmarkEnd w:id="40"/>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9.1除技术规格及要求中另有规定外，本采购项目的谈判均采用国家法定的计量单位。</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41" w:name="_Toc325464826"/>
      <w:bookmarkStart w:id="42" w:name="_Toc317509242"/>
      <w:bookmarkStart w:id="43" w:name="_Toc116568298"/>
      <w:bookmarkStart w:id="44" w:name="_Toc217446045"/>
      <w:bookmarkStart w:id="45" w:name="_Toc317509395"/>
      <w:bookmarkStart w:id="46" w:name="_Toc325096477"/>
      <w:r>
        <w:rPr>
          <w:rFonts w:hint="eastAsia" w:ascii="仿宋_GB2312" w:hAnsi="仿宋_GB2312" w:eastAsia="仿宋_GB2312" w:cs="仿宋_GB2312"/>
          <w:sz w:val="28"/>
          <w:szCs w:val="28"/>
        </w:rPr>
        <w:t>10.谈判货币</w:t>
      </w:r>
      <w:bookmarkEnd w:id="41"/>
      <w:bookmarkEnd w:id="42"/>
      <w:bookmarkEnd w:id="43"/>
      <w:bookmarkEnd w:id="44"/>
      <w:bookmarkEnd w:id="45"/>
      <w:bookmarkEnd w:id="46"/>
    </w:p>
    <w:p>
      <w:pPr>
        <w:tabs>
          <w:tab w:val="left" w:pos="766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10.1本次竞争性谈判项目的谈判均以人民币报价。</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47" w:name="_Toc116568299"/>
      <w:r>
        <w:rPr>
          <w:rFonts w:hint="eastAsia" w:ascii="仿宋_GB2312" w:hAnsi="仿宋_GB2312" w:eastAsia="仿宋_GB2312" w:cs="仿宋_GB2312"/>
          <w:sz w:val="28"/>
          <w:szCs w:val="28"/>
        </w:rPr>
        <w:t>11.联合谈判</w:t>
      </w:r>
      <w:bookmarkEnd w:id="47"/>
    </w:p>
    <w:p>
      <w:pPr>
        <w:tabs>
          <w:tab w:val="left" w:pos="766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11.1不允许联合体参与谈判</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48" w:name="_Toc116568300"/>
      <w:r>
        <w:rPr>
          <w:rFonts w:hint="eastAsia" w:ascii="仿宋_GB2312" w:hAnsi="仿宋_GB2312" w:eastAsia="仿宋_GB2312" w:cs="仿宋_GB2312"/>
          <w:sz w:val="28"/>
          <w:szCs w:val="28"/>
        </w:rPr>
        <w:t>12.知识产权</w:t>
      </w:r>
      <w:bookmarkEnd w:id="48"/>
    </w:p>
    <w:p>
      <w:pPr>
        <w:pStyle w:val="8"/>
        <w:spacing w:line="52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12.1响应人应保证在本项目使用的任何产品和服务(包括部分使用)时，不会产生因第三方提出侵犯其专利权、商标权或其它知识产权而引起的法律和经济纠纷，如因专利权、商标权或其它知识产权而引起法律和经济纠纷，由响应人承担所有相关责任。</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49" w:name="_Toc116568301"/>
      <w:r>
        <w:rPr>
          <w:rFonts w:hint="eastAsia" w:ascii="仿宋_GB2312" w:hAnsi="仿宋_GB2312" w:eastAsia="仿宋_GB2312" w:cs="仿宋_GB2312"/>
          <w:sz w:val="28"/>
          <w:szCs w:val="28"/>
        </w:rPr>
        <w:t>13.响应文件的组成</w:t>
      </w:r>
      <w:bookmarkEnd w:id="49"/>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13.1响应人应按照竞争性谈判文件的规定和要求编制响应文件。响应人拟在成交后将成交项目的非主体、非关键性工作交由他人完成的，应当在响应文件中载明。响应人编写的响应文件应包括下列部分：</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谈判响应函</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法定代表人证明书</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报价一览表</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响应人基本情况表</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近3年经审计的财务报表关键页（审计报告、现金流量表、资产负债表、利润表）</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建设同类项目业绩一览表</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项目管理机构组成表</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拟派主要人员情况表 </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其他内容</w:t>
      </w:r>
    </w:p>
    <w:p>
      <w:pPr>
        <w:pStyle w:val="5"/>
        <w:tabs>
          <w:tab w:val="left" w:pos="3240"/>
        </w:tabs>
        <w:spacing w:before="0" w:beforeAutospacing="0" w:after="0" w:afterAutospacing="0" w:line="520" w:lineRule="exact"/>
        <w:ind w:firstLine="562" w:firstLineChars="200"/>
        <w:rPr>
          <w:rFonts w:ascii="仿宋_GB2312" w:hAnsi="仿宋_GB2312" w:eastAsia="仿宋_GB2312" w:cs="仿宋_GB2312"/>
          <w:sz w:val="28"/>
          <w:szCs w:val="28"/>
        </w:rPr>
      </w:pPr>
      <w:bookmarkStart w:id="50" w:name="_Toc116568302"/>
      <w:r>
        <w:rPr>
          <w:rFonts w:hint="eastAsia" w:ascii="仿宋_GB2312" w:hAnsi="仿宋_GB2312" w:eastAsia="仿宋_GB2312" w:cs="仿宋_GB2312"/>
          <w:sz w:val="28"/>
          <w:szCs w:val="28"/>
        </w:rPr>
        <w:t>14.响应文件格式</w:t>
      </w:r>
      <w:bookmarkEnd w:id="50"/>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14.1响应人应严格按照竞争性谈判文件第六章中提供的“响应文件格式”填写相关内容。除明确允许响应人可以自行编写的外，响应人不得以“响应文件格式”规定之外的方式填写相关内容。若《谈判响应函》 《法定代表人授权书》 《报价一览表》未签字和加盖响应人公章(鲜章)的，视为无效竞标。</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51" w:name="_Toc116568303"/>
      <w:r>
        <w:rPr>
          <w:rFonts w:hint="eastAsia" w:ascii="仿宋_GB2312" w:hAnsi="仿宋_GB2312" w:eastAsia="仿宋_GB2312" w:cs="仿宋_GB2312"/>
          <w:sz w:val="28"/>
          <w:szCs w:val="28"/>
        </w:rPr>
        <w:t>15.谈判有效期</w:t>
      </w:r>
      <w:bookmarkEnd w:id="51"/>
    </w:p>
    <w:p>
      <w:pPr>
        <w:tabs>
          <w:tab w:val="left" w:pos="766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15.1谈判有效期见谈判须知前附表。谈判有效期短于此规定期限的谈判，将被拒绝。</w:t>
      </w:r>
    </w:p>
    <w:p>
      <w:pPr>
        <w:tabs>
          <w:tab w:val="left" w:pos="766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15.2特殊情况下，采购人可于谈判有效期满之前要求响应人同意延长有效期，要求与答复均应为书面形式。</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52" w:name="_Toc116568304"/>
      <w:r>
        <w:rPr>
          <w:rFonts w:hint="eastAsia" w:ascii="仿宋_GB2312" w:hAnsi="仿宋_GB2312" w:eastAsia="仿宋_GB2312" w:cs="仿宋_GB2312"/>
          <w:sz w:val="28"/>
          <w:szCs w:val="28"/>
        </w:rPr>
        <w:t>16.响应文件的印制和签署</w:t>
      </w:r>
      <w:bookmarkEnd w:id="52"/>
    </w:p>
    <w:p>
      <w:pPr>
        <w:tabs>
          <w:tab w:val="left" w:pos="10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16.1响应人应按“谈判须知前附表”准备响应文件正本、副本、电子文档。响应文件的正本和副本应在其封面右上角清楚地标明“正本”或“副本”字样。若正本和副本有不一致的内容，以正本书面响应文件为准。</w:t>
      </w:r>
    </w:p>
    <w:p>
      <w:pPr>
        <w:tabs>
          <w:tab w:val="left" w:pos="109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16.2响应文件的正本和副本均需打印或用不褪色、不变质的墨水书写，并由响应人的法定代表人或其授权代表在规定签章处签字和盖鲜章。</w:t>
      </w:r>
    </w:p>
    <w:p>
      <w:pPr>
        <w:tabs>
          <w:tab w:val="left" w:pos="1095"/>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16.3响应文件的打印和书写应清楚工整，任何行间插字、涂改或增删，必须由响应人的法定代表人或其授权代表签字或盖个人印鉴。字迹潦草、表达不清或可能导致非唯一理解的响应文件可能视为无效谈判。</w:t>
      </w:r>
    </w:p>
    <w:p>
      <w:pPr>
        <w:tabs>
          <w:tab w:val="left" w:pos="10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16.4 响应文件应根据竞争性谈判文件的要求制作，签署、盖章和内容应完整。</w:t>
      </w:r>
    </w:p>
    <w:p>
      <w:pPr>
        <w:tabs>
          <w:tab w:val="left" w:pos="10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16.5 响应文件统一用A4幅面纸印制。</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53" w:name="_Toc116568305"/>
      <w:r>
        <w:rPr>
          <w:rFonts w:hint="eastAsia" w:ascii="仿宋_GB2312" w:hAnsi="仿宋_GB2312" w:eastAsia="仿宋_GB2312" w:cs="仿宋_GB2312"/>
          <w:sz w:val="28"/>
          <w:szCs w:val="28"/>
        </w:rPr>
        <w:t>17.响应文件的密封和标注</w:t>
      </w:r>
      <w:bookmarkEnd w:id="53"/>
    </w:p>
    <w:p>
      <w:pPr>
        <w:tabs>
          <w:tab w:val="left" w:pos="10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17.1响应人应在响应文件正本和所有副本的封面上注明响应人名称、项目名称。</w:t>
      </w:r>
    </w:p>
    <w:p>
      <w:pPr>
        <w:tabs>
          <w:tab w:val="left" w:pos="10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17.2响应文件正本、所有副本、电子文档应分别封装于不同的密封袋内，密封袋上应分别标上“正本”、“副本”字样。</w:t>
      </w:r>
    </w:p>
    <w:p>
      <w:pPr>
        <w:tabs>
          <w:tab w:val="left" w:pos="10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17.3所有外层密封袋的封口处应粘贴牢固，密封袋上注明响应人名称、项目名称、及谈判日期，并加盖密封章(响应人公章)。</w:t>
      </w:r>
    </w:p>
    <w:p>
      <w:pPr>
        <w:tabs>
          <w:tab w:val="left" w:pos="10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17.4未按以上要求进行密封和标注的响应文件将被拒绝。</w:t>
      </w:r>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54" w:name="_Toc116568306"/>
      <w:r>
        <w:rPr>
          <w:rFonts w:hint="eastAsia" w:ascii="仿宋_GB2312" w:hAnsi="仿宋_GB2312" w:eastAsia="仿宋_GB2312" w:cs="仿宋_GB2312"/>
          <w:bCs w:val="0"/>
          <w:sz w:val="28"/>
          <w:szCs w:val="28"/>
        </w:rPr>
        <w:t>18.</w:t>
      </w:r>
      <w:r>
        <w:rPr>
          <w:rFonts w:hint="eastAsia" w:ascii="仿宋_GB2312" w:hAnsi="仿宋_GB2312" w:eastAsia="仿宋_GB2312" w:cs="仿宋_GB2312"/>
          <w:sz w:val="28"/>
          <w:szCs w:val="28"/>
        </w:rPr>
        <w:t>响应文件的递交</w:t>
      </w:r>
      <w:bookmarkEnd w:id="54"/>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18.1响应人应在竞争性谈判文件规定的时间和地点递交响应文件；</w:t>
      </w:r>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18.2本次竞争性谈判不接受邮寄的响应文件。</w:t>
      </w:r>
    </w:p>
    <w:p>
      <w:pPr>
        <w:pStyle w:val="4"/>
        <w:spacing w:before="0" w:after="0" w:line="560" w:lineRule="exact"/>
        <w:ind w:firstLine="560" w:firstLineChars="200"/>
        <w:jc w:val="left"/>
        <w:rPr>
          <w:rFonts w:ascii="黑体" w:hAnsi="黑体" w:eastAsia="黑体" w:cs="黑体"/>
          <w:b w:val="0"/>
          <w:bCs w:val="0"/>
          <w:kern w:val="44"/>
          <w:sz w:val="28"/>
          <w:szCs w:val="28"/>
        </w:rPr>
      </w:pPr>
      <w:bookmarkStart w:id="55" w:name="_Toc116568307"/>
      <w:r>
        <w:rPr>
          <w:rFonts w:hint="eastAsia" w:ascii="黑体" w:hAnsi="黑体" w:eastAsia="黑体" w:cs="黑体"/>
          <w:b w:val="0"/>
          <w:bCs w:val="0"/>
          <w:kern w:val="44"/>
          <w:sz w:val="28"/>
          <w:szCs w:val="28"/>
        </w:rPr>
        <w:t>五、谈判办法</w:t>
      </w:r>
      <w:bookmarkEnd w:id="55"/>
    </w:p>
    <w:p>
      <w:pPr>
        <w:pStyle w:val="5"/>
        <w:spacing w:before="0" w:beforeAutospacing="0" w:after="0" w:afterAutospacing="0" w:line="520" w:lineRule="exact"/>
        <w:ind w:firstLine="562" w:firstLineChars="200"/>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19.谈判流程</w:t>
      </w:r>
    </w:p>
    <w:p>
      <w:pPr>
        <w:widowControl/>
        <w:autoSpaceDE w:val="0"/>
        <w:autoSpaceDN w:val="0"/>
        <w:spacing w:line="560" w:lineRule="exact"/>
        <w:ind w:right="53" w:firstLine="560" w:firstLineChars="200"/>
        <w:textAlignment w:val="bottom"/>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19.1谈判按竞争性谈判文件规定的时间和地点进行。响应人须有法人或法人授权代表参加并签到，并对所递交的响应文件进行密封性检查和签字确认。</w:t>
      </w:r>
    </w:p>
    <w:p>
      <w:pPr>
        <w:widowControl/>
        <w:autoSpaceDE w:val="0"/>
        <w:autoSpaceDN w:val="0"/>
        <w:spacing w:line="560" w:lineRule="exact"/>
        <w:ind w:right="53" w:firstLine="560" w:firstLineChars="200"/>
        <w:textAlignment w:val="bottom"/>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19.2谈判小组对响应人提交的响应文件进行符合性评审、资格审查及响应性评审。</w:t>
      </w:r>
    </w:p>
    <w:p>
      <w:pPr>
        <w:widowControl/>
        <w:autoSpaceDE w:val="0"/>
        <w:autoSpaceDN w:val="0"/>
        <w:spacing w:line="560" w:lineRule="exact"/>
        <w:ind w:right="53" w:firstLine="560" w:firstLineChars="200"/>
        <w:textAlignment w:val="bottom"/>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19.3谈判小组按照抽签顺序分别与合格的响应人进行谈判。</w:t>
      </w:r>
    </w:p>
    <w:p>
      <w:pPr>
        <w:widowControl/>
        <w:autoSpaceDE w:val="0"/>
        <w:autoSpaceDN w:val="0"/>
        <w:spacing w:line="560" w:lineRule="exact"/>
        <w:ind w:right="53" w:firstLine="560" w:firstLineChars="200"/>
        <w:textAlignment w:val="bottom"/>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19.4合格的响应人可进行二次报价，作为最终报价。</w:t>
      </w:r>
    </w:p>
    <w:p>
      <w:pPr>
        <w:widowControl/>
        <w:autoSpaceDE w:val="0"/>
        <w:autoSpaceDN w:val="0"/>
        <w:spacing w:line="560" w:lineRule="exact"/>
        <w:ind w:right="53" w:firstLine="560" w:firstLineChars="200"/>
        <w:textAlignment w:val="bottom"/>
        <w:rPr>
          <w:rFonts w:ascii="仿宋_GB2312" w:hAnsi="仿宋_GB2312" w:eastAsia="仿宋_GB2312" w:cs="仿宋_GB2312"/>
          <w:kern w:val="0"/>
          <w:sz w:val="28"/>
          <w:szCs w:val="28"/>
        </w:rPr>
      </w:pPr>
      <w:r>
        <w:rPr>
          <w:rFonts w:hint="eastAsia" w:ascii="仿宋_GB2312" w:hAnsi="仿宋_GB2312" w:eastAsia="仿宋_GB2312" w:cs="仿宋_GB2312"/>
          <w:sz w:val="28"/>
          <w:szCs w:val="28"/>
          <w:lang w:val="zh-CN"/>
        </w:rPr>
        <w:t>19.5谈判小组</w:t>
      </w:r>
      <w:r>
        <w:rPr>
          <w:rFonts w:hint="eastAsia" w:ascii="仿宋_GB2312" w:hAnsi="仿宋_GB2312" w:eastAsia="仿宋_GB2312" w:cs="仿宋_GB2312"/>
          <w:kern w:val="0"/>
          <w:sz w:val="28"/>
          <w:szCs w:val="28"/>
        </w:rPr>
        <w:t>按照响应人中报价最低的原则，推荐成交候选人。</w:t>
      </w:r>
    </w:p>
    <w:p>
      <w:pPr>
        <w:widowControl/>
        <w:autoSpaceDE w:val="0"/>
        <w:autoSpaceDN w:val="0"/>
        <w:spacing w:line="560" w:lineRule="exact"/>
        <w:ind w:right="53" w:firstLine="560" w:firstLineChars="200"/>
        <w:textAlignment w:val="bottom"/>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19.6采购人</w:t>
      </w:r>
      <w:r>
        <w:rPr>
          <w:rFonts w:hint="eastAsia" w:ascii="仿宋_GB2312" w:hAnsi="仿宋_GB2312" w:eastAsia="仿宋_GB2312" w:cs="仿宋_GB2312"/>
          <w:sz w:val="28"/>
          <w:szCs w:val="28"/>
        </w:rPr>
        <w:t>按照谈判小组推荐成交候选人的顺序确定成交人。</w:t>
      </w:r>
    </w:p>
    <w:p>
      <w:pPr>
        <w:pStyle w:val="5"/>
        <w:spacing w:before="0" w:beforeAutospacing="0" w:after="0" w:afterAutospacing="0" w:line="520" w:lineRule="exact"/>
        <w:ind w:firstLine="562" w:firstLineChars="200"/>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20.谈判内容和方式</w:t>
      </w:r>
    </w:p>
    <w:p>
      <w:pPr>
        <w:widowControl/>
        <w:autoSpaceDE w:val="0"/>
        <w:autoSpaceDN w:val="0"/>
        <w:spacing w:line="560" w:lineRule="exact"/>
        <w:ind w:right="53"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20.1本次竞争性谈判采用两轮谈判和最终报价的方式进行。</w:t>
      </w:r>
    </w:p>
    <w:p>
      <w:pPr>
        <w:snapToGrid w:val="0"/>
        <w:spacing w:line="560" w:lineRule="exact"/>
        <w:ind w:firstLine="600" w:firstLineChars="200"/>
        <w:rPr>
          <w:rFonts w:ascii="仿宋_GB2312" w:hAnsi="仿宋_GB2312" w:eastAsia="仿宋_GB2312" w:cs="仿宋_GB2312"/>
          <w:sz w:val="28"/>
          <w:szCs w:val="28"/>
        </w:rPr>
      </w:pPr>
      <w:bookmarkStart w:id="56" w:name="_Toc124576324"/>
      <w:bookmarkStart w:id="57" w:name="_Toc128798479"/>
      <w:bookmarkStart w:id="58" w:name="_Toc124734974"/>
      <w:bookmarkStart w:id="59" w:name="_Toc222556814"/>
      <w:bookmarkStart w:id="60" w:name="_Toc128798589"/>
      <w:r>
        <w:rPr>
          <w:rFonts w:hint="eastAsia" w:ascii="仿宋_GB2312" w:hAnsi="仿宋_GB2312" w:eastAsia="仿宋_GB2312" w:cs="仿宋_GB2312"/>
          <w:spacing w:val="10"/>
          <w:sz w:val="28"/>
          <w:szCs w:val="28"/>
        </w:rPr>
        <w:t>（1）</w:t>
      </w:r>
      <w:r>
        <w:rPr>
          <w:rFonts w:hint="eastAsia" w:ascii="仿宋_GB2312" w:hAnsi="仿宋_GB2312" w:eastAsia="仿宋_GB2312" w:cs="仿宋_GB2312"/>
          <w:sz w:val="28"/>
          <w:szCs w:val="28"/>
        </w:rPr>
        <w:t>谈判小组对响应人提交的响应文件进行符合性评审、资格审查及响应性评审；</w:t>
      </w:r>
    </w:p>
    <w:p>
      <w:pPr>
        <w:snapToGrid w:val="0"/>
        <w:spacing w:line="560" w:lineRule="exact"/>
        <w:ind w:firstLine="600" w:firstLineChars="200"/>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（2）</w:t>
      </w:r>
      <w:r>
        <w:rPr>
          <w:rFonts w:hint="eastAsia" w:ascii="仿宋_GB2312" w:hAnsi="仿宋_GB2312" w:eastAsia="仿宋_GB2312" w:cs="仿宋_GB2312"/>
          <w:sz w:val="28"/>
          <w:szCs w:val="28"/>
        </w:rPr>
        <w:t>确定谈判顺序</w:t>
      </w:r>
      <w:bookmarkEnd w:id="56"/>
      <w:bookmarkEnd w:id="57"/>
      <w:bookmarkEnd w:id="58"/>
      <w:bookmarkEnd w:id="59"/>
      <w:bookmarkEnd w:id="60"/>
    </w:p>
    <w:p>
      <w:pPr>
        <w:widowControl/>
        <w:autoSpaceDE w:val="0"/>
        <w:autoSpaceDN w:val="0"/>
        <w:spacing w:line="560" w:lineRule="exact"/>
        <w:ind w:right="53"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通过符合性评审、资格审查及响应性评审的响应人，以抽签方式确定谈判顺序。</w:t>
      </w:r>
    </w:p>
    <w:p>
      <w:pPr>
        <w:snapToGrid w:val="0"/>
        <w:spacing w:line="560" w:lineRule="exact"/>
        <w:ind w:firstLine="600" w:firstLineChars="200"/>
        <w:rPr>
          <w:rFonts w:ascii="仿宋_GB2312" w:hAnsi="仿宋_GB2312" w:eastAsia="仿宋_GB2312" w:cs="仿宋_GB2312"/>
          <w:sz w:val="28"/>
          <w:szCs w:val="28"/>
        </w:rPr>
      </w:pPr>
      <w:bookmarkStart w:id="61" w:name="_Toc222556815"/>
      <w:bookmarkStart w:id="62" w:name="_Toc124576325"/>
      <w:bookmarkStart w:id="63" w:name="_Toc128798590"/>
      <w:bookmarkStart w:id="64" w:name="_Toc128798480"/>
      <w:bookmarkStart w:id="65" w:name="_Toc124734975"/>
      <w:r>
        <w:rPr>
          <w:rFonts w:hint="eastAsia" w:ascii="仿宋_GB2312" w:hAnsi="仿宋_GB2312" w:eastAsia="仿宋_GB2312" w:cs="仿宋_GB2312"/>
          <w:spacing w:val="10"/>
          <w:sz w:val="28"/>
          <w:szCs w:val="28"/>
        </w:rPr>
        <w:t>（3）</w:t>
      </w:r>
      <w:r>
        <w:rPr>
          <w:rFonts w:hint="eastAsia" w:ascii="仿宋_GB2312" w:hAnsi="仿宋_GB2312" w:eastAsia="仿宋_GB2312" w:cs="仿宋_GB2312"/>
          <w:sz w:val="28"/>
          <w:szCs w:val="28"/>
        </w:rPr>
        <w:t>第一轮谈判</w:t>
      </w:r>
      <w:bookmarkEnd w:id="61"/>
      <w:r>
        <w:rPr>
          <w:rFonts w:hint="eastAsia" w:ascii="仿宋_GB2312" w:hAnsi="仿宋_GB2312" w:eastAsia="仿宋_GB2312" w:cs="仿宋_GB2312"/>
          <w:sz w:val="28"/>
          <w:szCs w:val="28"/>
        </w:rPr>
        <w:t>（二次报价）</w:t>
      </w:r>
    </w:p>
    <w:bookmarkEnd w:id="62"/>
    <w:bookmarkEnd w:id="63"/>
    <w:bookmarkEnd w:id="64"/>
    <w:bookmarkEnd w:id="65"/>
    <w:p>
      <w:pPr>
        <w:widowControl/>
        <w:autoSpaceDE w:val="0"/>
        <w:autoSpaceDN w:val="0"/>
        <w:spacing w:line="560" w:lineRule="exact"/>
        <w:ind w:right="53" w:firstLine="560" w:firstLineChars="200"/>
        <w:textAlignment w:val="bottom"/>
        <w:rPr>
          <w:rFonts w:ascii="仿宋_GB2312" w:hAnsi="仿宋_GB2312" w:eastAsia="仿宋_GB2312" w:cs="仿宋_GB2312"/>
          <w:sz w:val="28"/>
          <w:szCs w:val="28"/>
        </w:rPr>
      </w:pPr>
      <w:bookmarkStart w:id="66" w:name="_Toc128798483"/>
      <w:bookmarkStart w:id="67" w:name="_Toc124734978"/>
      <w:bookmarkStart w:id="68" w:name="_Toc222556817"/>
      <w:bookmarkStart w:id="69" w:name="_Toc128798593"/>
      <w:bookmarkStart w:id="70" w:name="_Toc113259749"/>
      <w:bookmarkStart w:id="71" w:name="_Toc124576328"/>
      <w:r>
        <w:rPr>
          <w:rFonts w:hint="eastAsia" w:ascii="仿宋_GB2312" w:hAnsi="仿宋_GB2312" w:eastAsia="仿宋_GB2312" w:cs="仿宋_GB2312"/>
          <w:sz w:val="28"/>
          <w:szCs w:val="28"/>
        </w:rPr>
        <w:t>合格的响应人就该项目的实施方案做出陈述，对项目做出二次报价，二次报价作为最终报价。</w:t>
      </w:r>
    </w:p>
    <w:bookmarkEnd w:id="66"/>
    <w:bookmarkEnd w:id="67"/>
    <w:bookmarkEnd w:id="68"/>
    <w:bookmarkEnd w:id="69"/>
    <w:bookmarkEnd w:id="70"/>
    <w:bookmarkEnd w:id="71"/>
    <w:p>
      <w:pPr>
        <w:pStyle w:val="4"/>
        <w:spacing w:before="0" w:after="0" w:line="560" w:lineRule="exact"/>
        <w:ind w:firstLine="560" w:firstLineChars="200"/>
        <w:jc w:val="left"/>
        <w:rPr>
          <w:rFonts w:ascii="黑体" w:hAnsi="黑体" w:eastAsia="黑体" w:cs="黑体"/>
          <w:b w:val="0"/>
          <w:bCs w:val="0"/>
          <w:kern w:val="44"/>
          <w:sz w:val="28"/>
          <w:szCs w:val="28"/>
        </w:rPr>
      </w:pPr>
      <w:bookmarkStart w:id="72" w:name="_Toc116568308"/>
      <w:r>
        <w:rPr>
          <w:rFonts w:hint="eastAsia" w:ascii="黑体" w:hAnsi="黑体" w:eastAsia="黑体" w:cs="黑体"/>
          <w:b w:val="0"/>
          <w:bCs w:val="0"/>
          <w:kern w:val="44"/>
          <w:sz w:val="28"/>
          <w:szCs w:val="28"/>
        </w:rPr>
        <w:t>六、定标</w:t>
      </w:r>
      <w:bookmarkEnd w:id="72"/>
    </w:p>
    <w:p>
      <w:pPr>
        <w:pStyle w:val="5"/>
        <w:spacing w:before="0" w:beforeAutospacing="0" w:after="0" w:afterAutospacing="0" w:line="560" w:lineRule="exact"/>
        <w:ind w:firstLine="562" w:firstLineChars="200"/>
        <w:rPr>
          <w:rFonts w:ascii="仿宋_GB2312" w:hAnsi="仿宋_GB2312" w:eastAsia="仿宋_GB2312" w:cs="仿宋_GB2312"/>
          <w:sz w:val="28"/>
          <w:szCs w:val="28"/>
        </w:rPr>
      </w:pPr>
      <w:bookmarkStart w:id="73" w:name="_Toc116568309"/>
      <w:r>
        <w:rPr>
          <w:rFonts w:hint="eastAsia" w:ascii="仿宋_GB2312" w:hAnsi="仿宋_GB2312" w:eastAsia="仿宋_GB2312" w:cs="仿宋_GB2312"/>
          <w:sz w:val="28"/>
          <w:szCs w:val="28"/>
        </w:rPr>
        <w:t>21. 定标原则</w:t>
      </w:r>
      <w:bookmarkEnd w:id="73"/>
    </w:p>
    <w:p>
      <w:pPr>
        <w:pStyle w:val="6"/>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21.1根据谈判小组推荐的成交候选人名单，按顺序确定成交人。</w:t>
      </w:r>
    </w:p>
    <w:p>
      <w:pPr>
        <w:pStyle w:val="5"/>
        <w:spacing w:before="0" w:beforeAutospacing="0" w:after="0" w:afterAutospacing="0" w:line="560" w:lineRule="exact"/>
        <w:ind w:firstLine="562" w:firstLineChars="200"/>
        <w:rPr>
          <w:rFonts w:ascii="仿宋_GB2312" w:hAnsi="仿宋_GB2312" w:eastAsia="仿宋_GB2312" w:cs="仿宋_GB2312"/>
          <w:sz w:val="28"/>
          <w:szCs w:val="28"/>
        </w:rPr>
      </w:pPr>
      <w:bookmarkStart w:id="74" w:name="_Toc116568310"/>
      <w:r>
        <w:rPr>
          <w:rFonts w:hint="eastAsia" w:ascii="仿宋_GB2312" w:hAnsi="仿宋_GB2312" w:eastAsia="仿宋_GB2312" w:cs="仿宋_GB2312"/>
          <w:sz w:val="28"/>
          <w:szCs w:val="28"/>
        </w:rPr>
        <w:t>22. 定标程序</w:t>
      </w:r>
      <w:bookmarkEnd w:id="74"/>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22.1 谈判小组将谈判情况写出书面报告，推荐成交候选人，并标明排列顺序。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22.2 采购人在收到谈判报告后五个工作日内，按照谈判报告中推荐的成交候选人顺序确定成交人。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22.3采购人将成交结果通知参加竞争性谈判的所有企业。采购人不解释成交或落选原因，不退回响应文件和其他谈判资料。</w:t>
      </w:r>
    </w:p>
    <w:p>
      <w:pPr>
        <w:pStyle w:val="5"/>
        <w:spacing w:before="0" w:beforeAutospacing="0" w:after="0" w:afterAutospacing="0" w:line="560" w:lineRule="exact"/>
        <w:ind w:firstLine="562" w:firstLineChars="200"/>
        <w:rPr>
          <w:rFonts w:ascii="仿宋_GB2312" w:hAnsi="仿宋_GB2312" w:eastAsia="仿宋_GB2312" w:cs="仿宋_GB2312"/>
          <w:sz w:val="28"/>
          <w:szCs w:val="28"/>
        </w:rPr>
      </w:pPr>
      <w:bookmarkStart w:id="75" w:name="_Toc116568311"/>
      <w:r>
        <w:rPr>
          <w:rFonts w:hint="eastAsia" w:ascii="仿宋_GB2312" w:hAnsi="仿宋_GB2312" w:eastAsia="仿宋_GB2312" w:cs="仿宋_GB2312"/>
          <w:sz w:val="28"/>
          <w:szCs w:val="28"/>
        </w:rPr>
        <w:t>23．成交通知书</w:t>
      </w:r>
      <w:bookmarkEnd w:id="75"/>
    </w:p>
    <w:p>
      <w:pPr>
        <w:tabs>
          <w:tab w:val="left" w:pos="7665"/>
        </w:tabs>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23.1 成交通知书为签订采购合同的依据，是合同的有效组成部分。</w:t>
      </w:r>
    </w:p>
    <w:p>
      <w:pPr>
        <w:tabs>
          <w:tab w:val="left" w:pos="7665"/>
        </w:tabs>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23.2 成交通知书对采购人和成交人均具有法律效力。成交通知书发出后，采购人改变成交结果，或者成交人无正当理由放弃成交的，应当承担相应的法律责任。</w:t>
      </w:r>
    </w:p>
    <w:p>
      <w:pPr>
        <w:tabs>
          <w:tab w:val="left" w:pos="7665"/>
        </w:tabs>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23.3成交人的响应文件本应作为无效谈判处理或者有法律法规规章制度规定的成交无效情形的，采购人在取得有权主体的认定以后，应当宣布发出的成交通知书无效，并收回发出的成交通知书(成交人也应当缴回)，依法重新确定成交人或者重新开展采购活动。</w:t>
      </w:r>
    </w:p>
    <w:p>
      <w:pPr>
        <w:pStyle w:val="4"/>
        <w:spacing w:before="0" w:after="0" w:line="560" w:lineRule="exact"/>
        <w:ind w:firstLine="560" w:firstLineChars="200"/>
        <w:jc w:val="left"/>
        <w:rPr>
          <w:rFonts w:ascii="黑体" w:hAnsi="黑体" w:eastAsia="黑体" w:cs="黑体"/>
          <w:b w:val="0"/>
          <w:bCs w:val="0"/>
          <w:kern w:val="44"/>
          <w:sz w:val="28"/>
          <w:szCs w:val="28"/>
        </w:rPr>
      </w:pPr>
      <w:bookmarkStart w:id="76" w:name="_Toc116568312"/>
      <w:r>
        <w:rPr>
          <w:rFonts w:hint="eastAsia" w:ascii="黑体" w:hAnsi="黑体" w:eastAsia="黑体" w:cs="黑体"/>
          <w:b w:val="0"/>
          <w:bCs w:val="0"/>
          <w:kern w:val="44"/>
          <w:sz w:val="28"/>
          <w:szCs w:val="28"/>
        </w:rPr>
        <w:t>七、签订及履行合同和验收</w:t>
      </w:r>
      <w:bookmarkEnd w:id="76"/>
    </w:p>
    <w:p>
      <w:pPr>
        <w:pStyle w:val="5"/>
        <w:spacing w:before="0" w:beforeAutospacing="0" w:after="0" w:afterAutospacing="0" w:line="560" w:lineRule="exact"/>
        <w:ind w:firstLine="562" w:firstLineChars="200"/>
        <w:rPr>
          <w:rFonts w:ascii="仿宋_GB2312" w:hAnsi="仿宋_GB2312" w:eastAsia="仿宋_GB2312" w:cs="仿宋_GB2312"/>
          <w:sz w:val="28"/>
          <w:szCs w:val="28"/>
        </w:rPr>
      </w:pPr>
      <w:bookmarkStart w:id="77" w:name="_Toc116568313"/>
      <w:r>
        <w:rPr>
          <w:rFonts w:hint="eastAsia" w:ascii="仿宋_GB2312" w:hAnsi="仿宋_GB2312" w:eastAsia="仿宋_GB2312" w:cs="仿宋_GB2312"/>
          <w:sz w:val="28"/>
          <w:szCs w:val="28"/>
        </w:rPr>
        <w:t>24. 签订合同</w:t>
      </w:r>
      <w:bookmarkEnd w:id="77"/>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24.1 成交人在收到采购人发出的成交通知书后，应自成交通知书发出之日起30日内与采购人签订采购合同。由于成交人的原因逾期未与采购人签订采购合同的，将视为放弃成交，取消其成交资格并将按相关规定进行处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24.2 采购人不得向成交人提出任何不合理的要求，作为签订合同的条件，不得与成交人私下订立背离合同实质性内容的任何协议，所签订的合同不得对竞争性谈判文件和成交人谈判文件作实质性修改。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24.3 成交人因不可抗力原因不能履行采购合同或放弃成交的，采购人可以与排在成交人之后第一位的成交候选人签订采购合同，以此类推。</w:t>
      </w:r>
    </w:p>
    <w:p>
      <w:pPr>
        <w:pStyle w:val="5"/>
        <w:spacing w:before="0" w:beforeAutospacing="0" w:after="0" w:afterAutospacing="0" w:line="560" w:lineRule="exact"/>
        <w:ind w:firstLine="562" w:firstLineChars="200"/>
        <w:rPr>
          <w:rFonts w:ascii="仿宋_GB2312" w:hAnsi="仿宋_GB2312" w:eastAsia="仿宋_GB2312" w:cs="仿宋_GB2312"/>
          <w:sz w:val="28"/>
          <w:szCs w:val="28"/>
        </w:rPr>
      </w:pPr>
      <w:bookmarkStart w:id="78" w:name="_Toc116568314"/>
      <w:r>
        <w:rPr>
          <w:rFonts w:hint="eastAsia" w:ascii="仿宋_GB2312" w:hAnsi="仿宋_GB2312" w:eastAsia="仿宋_GB2312" w:cs="仿宋_GB2312"/>
          <w:sz w:val="28"/>
          <w:szCs w:val="28"/>
        </w:rPr>
        <w:t>25. 履行合同</w:t>
      </w:r>
      <w:bookmarkEnd w:id="78"/>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25.1 成交人与采购人签订合同后，合同双方应严格执行合同条款，履行合同规定的义务，保证合同的顺利完成。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25.2 在合同履行过程中，如发生合同纠纷，合同双方应按照《合同法》的有关规定进行处理。</w:t>
      </w:r>
    </w:p>
    <w:p>
      <w:pPr>
        <w:pStyle w:val="5"/>
        <w:spacing w:before="0" w:beforeAutospacing="0" w:after="0" w:afterAutospacing="0" w:line="560" w:lineRule="exact"/>
        <w:ind w:firstLine="562" w:firstLineChars="200"/>
        <w:rPr>
          <w:rFonts w:ascii="仿宋_GB2312" w:hAnsi="仿宋_GB2312" w:eastAsia="仿宋_GB2312" w:cs="仿宋_GB2312"/>
          <w:sz w:val="28"/>
          <w:szCs w:val="28"/>
        </w:rPr>
      </w:pPr>
      <w:bookmarkStart w:id="79" w:name="_Toc116568315"/>
      <w:r>
        <w:rPr>
          <w:rFonts w:hint="eastAsia" w:ascii="仿宋_GB2312" w:hAnsi="仿宋_GB2312" w:eastAsia="仿宋_GB2312" w:cs="仿宋_GB2312"/>
          <w:sz w:val="28"/>
          <w:szCs w:val="28"/>
        </w:rPr>
        <w:t>26. 履约保证金</w:t>
      </w:r>
      <w:bookmarkEnd w:id="79"/>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26.1履约保证金金额：</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26.2待合同执行完毕后采购人在5个工作日内全额(无息)退还成交人。</w:t>
      </w:r>
    </w:p>
    <w:p>
      <w:pPr>
        <w:pStyle w:val="4"/>
        <w:spacing w:before="0" w:after="0" w:line="560" w:lineRule="exact"/>
        <w:ind w:firstLine="560" w:firstLineChars="200"/>
        <w:jc w:val="left"/>
        <w:rPr>
          <w:rFonts w:ascii="黑体" w:hAnsi="黑体" w:eastAsia="黑体" w:cs="黑体"/>
          <w:b w:val="0"/>
          <w:bCs w:val="0"/>
          <w:kern w:val="44"/>
          <w:sz w:val="28"/>
          <w:szCs w:val="28"/>
        </w:rPr>
      </w:pPr>
      <w:bookmarkStart w:id="80" w:name="_Toc116568316"/>
      <w:r>
        <w:rPr>
          <w:rFonts w:hint="eastAsia" w:ascii="黑体" w:hAnsi="黑体" w:eastAsia="黑体" w:cs="黑体"/>
          <w:b w:val="0"/>
          <w:bCs w:val="0"/>
          <w:kern w:val="44"/>
          <w:sz w:val="28"/>
          <w:szCs w:val="28"/>
        </w:rPr>
        <w:t>八、废 标</w:t>
      </w:r>
      <w:bookmarkEnd w:id="80"/>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81" w:name="_Toc116568317"/>
      <w:r>
        <w:rPr>
          <w:rFonts w:hint="eastAsia" w:ascii="仿宋_GB2312" w:hAnsi="仿宋_GB2312" w:eastAsia="仿宋_GB2312" w:cs="仿宋_GB2312"/>
          <w:sz w:val="28"/>
          <w:szCs w:val="28"/>
        </w:rPr>
        <w:t>27. 废标的情形</w:t>
      </w:r>
      <w:bookmarkEnd w:id="81"/>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27.1竞争性谈判采购中，出现下列情形之一的，予以废标：</w:t>
      </w:r>
    </w:p>
    <w:p>
      <w:pPr>
        <w:snapToGrid w:val="0"/>
        <w:spacing w:line="520" w:lineRule="exact"/>
        <w:ind w:firstLine="600" w:firstLineChars="200"/>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（1）</w:t>
      </w:r>
      <w:r>
        <w:rPr>
          <w:rFonts w:hint="eastAsia" w:ascii="仿宋_GB2312" w:hAnsi="仿宋_GB2312" w:eastAsia="仿宋_GB2312" w:cs="仿宋_GB2312"/>
          <w:sz w:val="28"/>
          <w:szCs w:val="28"/>
        </w:rPr>
        <w:t>出现影响采购公正的违法、违规行为的；</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（2）响应人的报价均超过了采购预算，采购人不能支付的；</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（3）因重大变故，采购任务取消的；</w:t>
      </w:r>
    </w:p>
    <w:p>
      <w:pPr>
        <w:snapToGrid w:val="0"/>
        <w:spacing w:line="520" w:lineRule="exact"/>
        <w:ind w:firstLine="600" w:firstLineChars="200"/>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（4）其</w:t>
      </w:r>
      <w:r>
        <w:rPr>
          <w:rFonts w:hint="eastAsia" w:ascii="仿宋_GB2312" w:hAnsi="仿宋_GB2312" w:eastAsia="仿宋_GB2312" w:cs="仿宋_GB2312"/>
          <w:sz w:val="28"/>
          <w:szCs w:val="28"/>
        </w:rPr>
        <w:t>他未实质性响应竞谈文件的。</w:t>
      </w:r>
    </w:p>
    <w:p>
      <w:pPr>
        <w:pStyle w:val="4"/>
        <w:spacing w:before="0" w:after="0" w:line="560" w:lineRule="exact"/>
        <w:ind w:firstLine="560" w:firstLineChars="200"/>
        <w:jc w:val="left"/>
        <w:rPr>
          <w:rFonts w:ascii="黑体" w:hAnsi="黑体" w:eastAsia="黑体" w:cs="黑体"/>
          <w:b w:val="0"/>
          <w:bCs w:val="0"/>
          <w:kern w:val="44"/>
          <w:sz w:val="28"/>
          <w:szCs w:val="28"/>
        </w:rPr>
      </w:pPr>
      <w:bookmarkStart w:id="82" w:name="_Toc116568318"/>
      <w:r>
        <w:rPr>
          <w:rFonts w:hint="eastAsia" w:ascii="黑体" w:hAnsi="黑体" w:eastAsia="黑体" w:cs="黑体"/>
          <w:b w:val="0"/>
          <w:bCs w:val="0"/>
          <w:kern w:val="44"/>
          <w:sz w:val="28"/>
          <w:szCs w:val="28"/>
        </w:rPr>
        <w:t>九、谈判纪律要求</w:t>
      </w:r>
      <w:bookmarkEnd w:id="82"/>
    </w:p>
    <w:p>
      <w:pPr>
        <w:pStyle w:val="5"/>
        <w:spacing w:before="0" w:beforeAutospacing="0" w:after="0" w:afterAutospacing="0" w:line="520" w:lineRule="exact"/>
        <w:ind w:firstLine="562" w:firstLineChars="200"/>
        <w:rPr>
          <w:rFonts w:ascii="仿宋_GB2312" w:hAnsi="仿宋_GB2312" w:eastAsia="仿宋_GB2312" w:cs="仿宋_GB2312"/>
          <w:sz w:val="28"/>
          <w:szCs w:val="28"/>
        </w:rPr>
      </w:pPr>
      <w:bookmarkStart w:id="83" w:name="_Toc116568319"/>
      <w:r>
        <w:rPr>
          <w:rFonts w:hint="eastAsia" w:ascii="仿宋_GB2312" w:hAnsi="仿宋_GB2312" w:eastAsia="仿宋_GB2312" w:cs="仿宋_GB2312"/>
          <w:sz w:val="28"/>
          <w:szCs w:val="28"/>
        </w:rPr>
        <w:t>28. 响应人不得具有的情形</w:t>
      </w:r>
      <w:bookmarkEnd w:id="83"/>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28.1响应人参加谈判不得有下列情形：</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（1）提供虚假材料谋取成交</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（2）采取不正当手段诋毁、排挤其他响应人</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（3）与采购人、其他响应人恶意串通</w:t>
      </w:r>
    </w:p>
    <w:p>
      <w:pPr>
        <w:snapToGrid w:val="0"/>
        <w:spacing w:line="520" w:lineRule="exact"/>
        <w:ind w:firstLine="60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（4）向采购人、谈判小组成员行贿或者提供其他不正当利益</w:t>
      </w:r>
    </w:p>
    <w:p>
      <w:pPr>
        <w:snapToGrid w:val="0"/>
        <w:spacing w:line="520" w:lineRule="exact"/>
        <w:ind w:firstLine="600" w:firstLineChars="200"/>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（5）</w:t>
      </w:r>
      <w:r>
        <w:rPr>
          <w:rFonts w:hint="eastAsia" w:ascii="仿宋_GB2312" w:hAnsi="仿宋_GB2312" w:eastAsia="仿宋_GB2312" w:cs="仿宋_GB2312"/>
          <w:sz w:val="28"/>
          <w:szCs w:val="28"/>
        </w:rPr>
        <w:t>拒绝有关部门的监督检查或者向监督检查部门提供虚假情况</w:t>
      </w:r>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有上述情形之一的响应人，属于不合格响应人，其谈判或成交资格将被取消。</w:t>
      </w:r>
      <w:bookmarkStart w:id="84" w:name="_Toc466206535"/>
      <w:bookmarkStart w:id="85" w:name="_Toc116568320"/>
      <w:bookmarkStart w:id="86" w:name="_Toc217446093"/>
    </w:p>
    <w:p>
      <w:pPr>
        <w:pStyle w:val="6"/>
        <w:spacing w:line="520" w:lineRule="exact"/>
        <w:ind w:firstLine="0" w:firstLineChars="0"/>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评审办法</w:t>
      </w:r>
      <w:bookmarkEnd w:id="84"/>
      <w:bookmarkEnd w:id="85"/>
    </w:p>
    <w:p>
      <w:pPr>
        <w:widowControl/>
        <w:spacing w:line="520"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一.为使本次谈判工作体现公开、公平、公正的原则和平等竞争的精神，并择优选定报价合理、信誉好、服务能力强的成交人，依照国家、省和四川省能源投资集团有限责任公司有关规定，特制定本评审办法。</w:t>
      </w:r>
    </w:p>
    <w:p>
      <w:pPr>
        <w:widowControl/>
        <w:spacing w:line="520"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二.谈判小组依据竞争性谈判文件中的标准、办法对</w:t>
      </w:r>
      <w:r>
        <w:rPr>
          <w:rFonts w:hint="eastAsia" w:ascii="仿宋_GB2312" w:hAnsi="仿宋_GB2312" w:eastAsia="仿宋_GB2312" w:cs="仿宋_GB2312"/>
          <w:sz w:val="28"/>
          <w:szCs w:val="28"/>
        </w:rPr>
        <w:t>响应文件</w:t>
      </w:r>
      <w:r>
        <w:rPr>
          <w:rFonts w:hint="eastAsia" w:ascii="仿宋_GB2312" w:hAnsi="仿宋_GB2312" w:eastAsia="仿宋_GB2312" w:cs="仿宋_GB2312"/>
          <w:kern w:val="0"/>
          <w:sz w:val="28"/>
          <w:szCs w:val="28"/>
        </w:rPr>
        <w:t>进行评审，任何其他的外部证据均不得作为评审的依据。</w:t>
      </w:r>
    </w:p>
    <w:p>
      <w:pPr>
        <w:widowControl/>
        <w:spacing w:line="520"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三.本次评审工作由采购人组织的谈判小组负责。谈判小组成员人数为</w:t>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kern w:val="0"/>
          <w:sz w:val="28"/>
          <w:szCs w:val="28"/>
        </w:rPr>
        <w:t>人。入围结果确定之前，谈判小组成员的名单保密。谈判小组成员应根据竞争性谈判文件要求和本评审办法对</w:t>
      </w:r>
      <w:r>
        <w:rPr>
          <w:rFonts w:hint="eastAsia" w:ascii="仿宋_GB2312" w:hAnsi="仿宋_GB2312" w:eastAsia="仿宋_GB2312" w:cs="仿宋_GB2312"/>
          <w:sz w:val="28"/>
          <w:szCs w:val="28"/>
        </w:rPr>
        <w:t>响应</w:t>
      </w:r>
      <w:r>
        <w:rPr>
          <w:rFonts w:hint="eastAsia" w:ascii="仿宋_GB2312" w:hAnsi="仿宋_GB2312" w:eastAsia="仿宋_GB2312" w:cs="仿宋_GB2312"/>
          <w:kern w:val="0"/>
          <w:sz w:val="28"/>
          <w:szCs w:val="28"/>
        </w:rPr>
        <w:t>人的</w:t>
      </w:r>
      <w:r>
        <w:rPr>
          <w:rFonts w:hint="eastAsia" w:ascii="仿宋_GB2312" w:hAnsi="仿宋_GB2312" w:eastAsia="仿宋_GB2312" w:cs="仿宋_GB2312"/>
          <w:sz w:val="28"/>
          <w:szCs w:val="28"/>
        </w:rPr>
        <w:t>响应文件</w:t>
      </w:r>
      <w:r>
        <w:rPr>
          <w:rFonts w:hint="eastAsia" w:ascii="仿宋_GB2312" w:hAnsi="仿宋_GB2312" w:eastAsia="仿宋_GB2312" w:cs="仿宋_GB2312"/>
          <w:kern w:val="0"/>
          <w:sz w:val="28"/>
          <w:szCs w:val="28"/>
        </w:rPr>
        <w:t>逐一进行分析、比较和评审。</w:t>
      </w:r>
    </w:p>
    <w:p>
      <w:pPr>
        <w:widowControl/>
        <w:spacing w:line="520"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四.评审标准</w:t>
      </w:r>
    </w:p>
    <w:p>
      <w:pPr>
        <w:widowControl/>
        <w:spacing w:line="520"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谈判小组对响应文件按照综合得分最高的原则进行评审。</w:t>
      </w:r>
    </w:p>
    <w:p>
      <w:pPr>
        <w:spacing w:line="52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4.1</w:t>
      </w:r>
      <w:r>
        <w:rPr>
          <w:rFonts w:hint="eastAsia" w:ascii="宋体" w:hAnsi="宋体" w:cs="宋体"/>
          <w:sz w:val="28"/>
          <w:szCs w:val="28"/>
        </w:rPr>
        <w:t>综合得分最高的原则</w:t>
      </w:r>
    </w:p>
    <w:p>
      <w:pPr>
        <w:spacing w:line="520" w:lineRule="atLeas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sz w:val="28"/>
          <w:szCs w:val="28"/>
        </w:rPr>
        <w:t>符合性评审、资格审查及响应性评审</w:t>
      </w:r>
    </w:p>
    <w:p>
      <w:pPr>
        <w:spacing w:line="520" w:lineRule="atLeas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评审内容详见下表：</w:t>
      </w:r>
    </w:p>
    <w:tbl>
      <w:tblPr>
        <w:tblStyle w:val="19"/>
        <w:tblW w:w="8553" w:type="dxa"/>
        <w:tblInd w:w="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6"/>
        <w:gridCol w:w="2283"/>
        <w:gridCol w:w="5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0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评审项目</w:t>
            </w:r>
          </w:p>
        </w:tc>
        <w:tc>
          <w:tcPr>
            <w:tcW w:w="518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0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响应人名称</w:t>
            </w:r>
          </w:p>
        </w:tc>
        <w:tc>
          <w:tcPr>
            <w:tcW w:w="5184"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与营业执照、资质证书（若）一致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0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授权委托书</w:t>
            </w:r>
          </w:p>
        </w:tc>
        <w:tc>
          <w:tcPr>
            <w:tcW w:w="5184"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法定代表人证明书/法人授权委托书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0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谈判有效期</w:t>
            </w:r>
          </w:p>
        </w:tc>
        <w:tc>
          <w:tcPr>
            <w:tcW w:w="5184"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谈判有效期是否为</w:t>
            </w:r>
            <w:r>
              <w:rPr>
                <w:rFonts w:hint="eastAsia" w:ascii="仿宋_GB2312" w:hAnsi="仿宋_GB2312" w:eastAsia="仿宋_GB2312" w:cs="仿宋_GB2312"/>
                <w:sz w:val="24"/>
                <w:szCs w:val="24"/>
                <w:u w:val="single"/>
              </w:rPr>
              <w:t>30</w:t>
            </w:r>
            <w:r>
              <w:rPr>
                <w:rFonts w:hint="eastAsia" w:ascii="仿宋_GB2312" w:hAnsi="仿宋_GB2312" w:eastAsia="仿宋_GB2312" w:cs="仿宋_GB2312"/>
                <w:sz w:val="24"/>
                <w:szCs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0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签字、盖章</w:t>
            </w:r>
          </w:p>
        </w:tc>
        <w:tc>
          <w:tcPr>
            <w:tcW w:w="5184"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是否符合竞争性谈判文件的签字盖章要求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0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资格条件</w:t>
            </w:r>
          </w:p>
        </w:tc>
        <w:tc>
          <w:tcPr>
            <w:tcW w:w="5184"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是否满足谈判须知一般要求、业绩要求、信誉要求和资质要求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0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控制价</w:t>
            </w:r>
          </w:p>
        </w:tc>
        <w:tc>
          <w:tcPr>
            <w:tcW w:w="5184"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报价是否在竞谈文件控制价以内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0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2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完成时间</w:t>
            </w:r>
          </w:p>
        </w:tc>
        <w:tc>
          <w:tcPr>
            <w:tcW w:w="5184"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是否满足竞争性谈判文件提出的完成时间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08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2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偏离</w:t>
            </w:r>
          </w:p>
        </w:tc>
        <w:tc>
          <w:tcPr>
            <w:tcW w:w="5184"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响应文件是否满足采购人需求的要求，且没有重大偏离</w:t>
            </w:r>
          </w:p>
        </w:tc>
      </w:tr>
    </w:tbl>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注：只有全部满足上述评审项目合格标准的申请文件才能通过符合性评审、资格审查及响应性评审。</w:t>
      </w:r>
    </w:p>
    <w:p>
      <w:pPr>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(2)价格评审</w:t>
      </w:r>
    </w:p>
    <w:p>
      <w:pPr>
        <w:spacing w:line="520" w:lineRule="exact"/>
        <w:ind w:firstLine="560" w:firstLineChars="200"/>
        <w:rPr>
          <w:rFonts w:ascii="仿宋_GB2312" w:hAnsi="仿宋_GB2312" w:eastAsia="仿宋_GB2312" w:cs="仿宋_GB2312"/>
          <w:bCs/>
          <w:sz w:val="28"/>
          <w:szCs w:val="28"/>
        </w:rPr>
      </w:pPr>
      <w:bookmarkStart w:id="87" w:name="_Toc61327442"/>
      <w:r>
        <w:rPr>
          <w:rFonts w:hint="eastAsia" w:ascii="仿宋_GB2312" w:hAnsi="仿宋_GB2312" w:eastAsia="仿宋_GB2312" w:cs="仿宋_GB2312"/>
          <w:bCs/>
          <w:sz w:val="28"/>
          <w:szCs w:val="28"/>
        </w:rPr>
        <w:t>谈判小组详细分析、核准报价表（有二次报价的以二次报价表为准），检查其是否存在计算上或累加上的算术错误，修正错误的原则如下：</w:t>
      </w: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大写金额和小写金额不一致的，以大写金额为准；</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总价金额与单价金额和数量乘积不一致的，以单价金额为准，但单价金额小数点有明显错误的除外；</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对不同文字文本响应文件的解释发生异议的，以中文文本为准；</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采购人需要的服务和附带备品、配件所需的费用，如果响应人是另外单独报价的，评审时计入报价总价。</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供货范围（包括设备和服务）缺漏项的调整，其调整价格为该项在其他有效报价中的最高报价。</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谈判小组将按照上述修正错误的方法调整响应文件中报价，调整后的价格对响应人具有约束力。如果响应人不接受修正后的报价，则其响应文件将被拒绝。</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（3）综合评审</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谈判小组对通过符合性评审、资格审查及响应性评审的响应人的响应文件进行综合评审，评审按照下表的评分标准进行打分：</w:t>
      </w:r>
    </w:p>
    <w:p>
      <w:pPr>
        <w:pStyle w:val="18"/>
        <w:spacing w:after="0" w:line="360" w:lineRule="auto"/>
        <w:rPr>
          <w:rFonts w:eastAsia="等线"/>
        </w:rPr>
      </w:pPr>
    </w:p>
    <w:tbl>
      <w:tblPr>
        <w:tblStyle w:val="1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771"/>
        <w:gridCol w:w="567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68" w:type="dxa"/>
            <w:vAlign w:val="center"/>
          </w:tcPr>
          <w:p>
            <w:pPr>
              <w:spacing w:line="360" w:lineRule="auto"/>
              <w:ind w:leftChars="-9" w:hanging="19" w:hangingChars="8"/>
              <w:jc w:val="center"/>
              <w:rPr>
                <w:rFonts w:ascii="宋体" w:hAnsi="宋体" w:cs="仿宋_GB2312"/>
                <w:sz w:val="24"/>
              </w:rPr>
            </w:pPr>
            <w:r>
              <w:rPr>
                <w:rFonts w:hint="eastAsia" w:ascii="宋体" w:hAnsi="宋体" w:cs="仿宋_GB2312"/>
                <w:sz w:val="24"/>
              </w:rPr>
              <w:t>评审项目</w:t>
            </w:r>
          </w:p>
        </w:tc>
        <w:tc>
          <w:tcPr>
            <w:tcW w:w="1771" w:type="dxa"/>
            <w:vAlign w:val="center"/>
          </w:tcPr>
          <w:p>
            <w:pPr>
              <w:spacing w:line="360" w:lineRule="auto"/>
              <w:ind w:leftChars="-9" w:hanging="19" w:hangingChars="8"/>
              <w:jc w:val="center"/>
              <w:rPr>
                <w:rFonts w:ascii="宋体" w:hAnsi="宋体" w:cs="仿宋_GB2312"/>
                <w:sz w:val="24"/>
              </w:rPr>
            </w:pPr>
            <w:r>
              <w:rPr>
                <w:rFonts w:hint="eastAsia" w:ascii="宋体" w:hAnsi="宋体" w:cs="仿宋_GB2312"/>
                <w:sz w:val="24"/>
              </w:rPr>
              <w:t>评分内容</w:t>
            </w:r>
          </w:p>
        </w:tc>
        <w:tc>
          <w:tcPr>
            <w:tcW w:w="5670" w:type="dxa"/>
            <w:vAlign w:val="center"/>
          </w:tcPr>
          <w:p>
            <w:pPr>
              <w:spacing w:line="360" w:lineRule="auto"/>
              <w:ind w:leftChars="-9" w:hanging="19" w:hangingChars="8"/>
              <w:jc w:val="center"/>
              <w:rPr>
                <w:rFonts w:ascii="宋体" w:hAnsi="宋体" w:cs="仿宋_GB2312"/>
                <w:sz w:val="24"/>
              </w:rPr>
            </w:pPr>
            <w:r>
              <w:rPr>
                <w:rFonts w:hint="eastAsia" w:ascii="宋体" w:hAnsi="宋体" w:cs="仿宋_GB2312"/>
                <w:sz w:val="24"/>
              </w:rPr>
              <w:t>评分标准</w:t>
            </w:r>
          </w:p>
        </w:tc>
        <w:tc>
          <w:tcPr>
            <w:tcW w:w="954" w:type="dxa"/>
            <w:vAlign w:val="center"/>
          </w:tcPr>
          <w:p>
            <w:pPr>
              <w:spacing w:line="360" w:lineRule="auto"/>
              <w:ind w:leftChars="-9" w:hanging="19" w:hangingChars="8"/>
              <w:jc w:val="center"/>
              <w:rPr>
                <w:rFonts w:ascii="宋体" w:hAnsi="宋体" w:cs="仿宋_GB2312"/>
                <w:sz w:val="24"/>
              </w:rPr>
            </w:pPr>
            <w:r>
              <w:rPr>
                <w:rFonts w:hint="eastAsia" w:ascii="宋体" w:hAnsi="宋体"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68" w:type="dxa"/>
            <w:vAlign w:val="center"/>
          </w:tcPr>
          <w:p>
            <w:pPr>
              <w:spacing w:line="360" w:lineRule="auto"/>
              <w:jc w:val="center"/>
              <w:rPr>
                <w:rFonts w:ascii="宋体" w:hAnsi="宋体"/>
                <w:sz w:val="24"/>
              </w:rPr>
            </w:pPr>
            <w:r>
              <w:rPr>
                <w:rFonts w:hint="eastAsia" w:ascii="宋体" w:hAnsi="宋体"/>
                <w:sz w:val="24"/>
              </w:rPr>
              <w:t>一</w:t>
            </w:r>
          </w:p>
        </w:tc>
        <w:tc>
          <w:tcPr>
            <w:tcW w:w="1771" w:type="dxa"/>
            <w:vAlign w:val="center"/>
          </w:tcPr>
          <w:p>
            <w:pPr>
              <w:spacing w:line="360" w:lineRule="auto"/>
              <w:jc w:val="center"/>
              <w:rPr>
                <w:rFonts w:ascii="宋体" w:hAnsi="宋体" w:cs="宋体"/>
                <w:sz w:val="24"/>
              </w:rPr>
            </w:pPr>
            <w:r>
              <w:rPr>
                <w:rFonts w:hint="eastAsia" w:ascii="宋体" w:hAnsi="宋体" w:cs="宋体"/>
                <w:sz w:val="24"/>
              </w:rPr>
              <w:t>企业能力及业绩</w:t>
            </w:r>
          </w:p>
        </w:tc>
        <w:tc>
          <w:tcPr>
            <w:tcW w:w="5670" w:type="dxa"/>
            <w:vAlign w:val="center"/>
          </w:tcPr>
          <w:p>
            <w:pPr>
              <w:pStyle w:val="18"/>
              <w:spacing w:after="0" w:line="360" w:lineRule="auto"/>
              <w:ind w:left="0" w:leftChars="0" w:firstLine="0" w:firstLineChars="0"/>
              <w:rPr>
                <w:rFonts w:ascii="宋体" w:hAnsi="宋体" w:eastAsia="宋体" w:cs="宋体"/>
                <w:sz w:val="24"/>
                <w:szCs w:val="20"/>
              </w:rPr>
            </w:pPr>
            <w:r>
              <w:rPr>
                <w:rFonts w:hint="eastAsia" w:ascii="宋体" w:hAnsi="宋体" w:eastAsia="宋体" w:cs="宋体"/>
                <w:sz w:val="24"/>
                <w:szCs w:val="20"/>
              </w:rPr>
              <w:t>近年具有2个火电、燃气发电等类似发电项目相关设备招标或建设工作业绩得6分，每增加1个加3分，本项最多得15分。</w:t>
            </w:r>
          </w:p>
          <w:p>
            <w:pPr>
              <w:pStyle w:val="18"/>
              <w:spacing w:after="0" w:line="360" w:lineRule="auto"/>
              <w:ind w:left="0" w:leftChars="0" w:firstLine="0" w:firstLineChars="0"/>
              <w:rPr>
                <w:rFonts w:ascii="宋体" w:hAnsi="宋体" w:eastAsia="宋体" w:cs="宋体"/>
                <w:sz w:val="24"/>
                <w:szCs w:val="20"/>
              </w:rPr>
            </w:pPr>
            <w:r>
              <w:rPr>
                <w:rFonts w:hint="eastAsia" w:ascii="宋体" w:hAnsi="宋体" w:eastAsia="宋体" w:cs="宋体"/>
                <w:sz w:val="24"/>
                <w:szCs w:val="20"/>
              </w:rPr>
              <w:t>注：附合同协议书关键页复印件，并加盖公章。</w:t>
            </w:r>
          </w:p>
        </w:tc>
        <w:tc>
          <w:tcPr>
            <w:tcW w:w="95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68" w:type="dxa"/>
            <w:vAlign w:val="center"/>
          </w:tcPr>
          <w:p>
            <w:pPr>
              <w:spacing w:line="360" w:lineRule="auto"/>
              <w:jc w:val="center"/>
              <w:rPr>
                <w:rFonts w:ascii="宋体" w:hAnsi="宋体"/>
                <w:sz w:val="24"/>
              </w:rPr>
            </w:pPr>
            <w:r>
              <w:rPr>
                <w:rFonts w:hint="eastAsia" w:ascii="宋体" w:hAnsi="宋体"/>
                <w:sz w:val="24"/>
              </w:rPr>
              <w:t>二</w:t>
            </w:r>
          </w:p>
        </w:tc>
        <w:tc>
          <w:tcPr>
            <w:tcW w:w="1771" w:type="dxa"/>
            <w:vAlign w:val="center"/>
          </w:tcPr>
          <w:p>
            <w:pPr>
              <w:spacing w:line="360" w:lineRule="auto"/>
              <w:jc w:val="center"/>
              <w:rPr>
                <w:rFonts w:ascii="宋体" w:hAnsi="宋体" w:cs="宋体"/>
                <w:sz w:val="24"/>
              </w:rPr>
            </w:pPr>
            <w:r>
              <w:rPr>
                <w:rFonts w:hint="eastAsia" w:ascii="宋体" w:hAnsi="宋体" w:cs="宋体"/>
                <w:sz w:val="24"/>
              </w:rPr>
              <w:t>专业负责人</w:t>
            </w:r>
          </w:p>
        </w:tc>
        <w:tc>
          <w:tcPr>
            <w:tcW w:w="5670" w:type="dxa"/>
            <w:vAlign w:val="center"/>
          </w:tcPr>
          <w:p>
            <w:pPr>
              <w:pStyle w:val="18"/>
              <w:spacing w:after="0" w:line="360" w:lineRule="auto"/>
              <w:ind w:left="0" w:leftChars="0" w:firstLine="0" w:firstLineChars="0"/>
              <w:rPr>
                <w:rFonts w:ascii="宋体" w:hAnsi="宋体" w:eastAsia="宋体" w:cs="宋体"/>
                <w:sz w:val="24"/>
                <w:szCs w:val="20"/>
              </w:rPr>
            </w:pPr>
            <w:r>
              <w:rPr>
                <w:rFonts w:hint="eastAsia" w:ascii="宋体" w:hAnsi="宋体" w:eastAsia="宋体" w:cs="宋体"/>
                <w:sz w:val="24"/>
                <w:szCs w:val="20"/>
              </w:rPr>
              <w:t>1.项目负责人具有电力工程专业高级工程师资格证得4分；</w:t>
            </w:r>
          </w:p>
          <w:p>
            <w:pPr>
              <w:pStyle w:val="18"/>
              <w:spacing w:after="0" w:line="360" w:lineRule="auto"/>
              <w:ind w:left="0" w:leftChars="0" w:firstLine="0" w:firstLineChars="0"/>
              <w:rPr>
                <w:rFonts w:ascii="宋体" w:hAnsi="宋体" w:eastAsia="宋体" w:cs="宋体"/>
                <w:sz w:val="24"/>
                <w:szCs w:val="20"/>
              </w:rPr>
            </w:pPr>
            <w:r>
              <w:rPr>
                <w:rFonts w:hint="eastAsia" w:ascii="宋体" w:hAnsi="宋体" w:eastAsia="宋体" w:cs="宋体"/>
                <w:sz w:val="24"/>
                <w:szCs w:val="20"/>
              </w:rPr>
              <w:t>2.造价专业负责人具有一级造价工程师职业资格证得</w:t>
            </w:r>
            <w:r>
              <w:rPr>
                <w:rFonts w:ascii="宋体" w:hAnsi="宋体" w:eastAsia="宋体" w:cs="宋体"/>
                <w:sz w:val="24"/>
                <w:szCs w:val="20"/>
              </w:rPr>
              <w:t>4</w:t>
            </w:r>
            <w:r>
              <w:rPr>
                <w:rFonts w:hint="eastAsia" w:ascii="宋体" w:hAnsi="宋体" w:eastAsia="宋体" w:cs="宋体"/>
                <w:sz w:val="24"/>
                <w:szCs w:val="20"/>
              </w:rPr>
              <w:t>分。</w:t>
            </w:r>
          </w:p>
          <w:p>
            <w:pPr>
              <w:pStyle w:val="18"/>
              <w:spacing w:after="0" w:line="360" w:lineRule="auto"/>
              <w:ind w:left="0" w:leftChars="0" w:firstLine="0" w:firstLineChars="0"/>
              <w:rPr>
                <w:rFonts w:ascii="宋体" w:hAnsi="宋体" w:eastAsia="宋体" w:cs="宋体"/>
                <w:sz w:val="24"/>
                <w:szCs w:val="20"/>
              </w:rPr>
            </w:pPr>
            <w:r>
              <w:rPr>
                <w:rFonts w:hint="eastAsia" w:ascii="宋体" w:hAnsi="宋体" w:eastAsia="宋体" w:cs="宋体"/>
                <w:sz w:val="24"/>
                <w:szCs w:val="20"/>
              </w:rPr>
              <w:t>注：附相应证明文件。</w:t>
            </w:r>
          </w:p>
        </w:tc>
        <w:tc>
          <w:tcPr>
            <w:tcW w:w="954" w:type="dxa"/>
            <w:vAlign w:val="center"/>
          </w:tcPr>
          <w:p>
            <w:pPr>
              <w:spacing w:line="360" w:lineRule="auto"/>
              <w:jc w:val="center"/>
              <w:rPr>
                <w:rFonts w:ascii="宋体" w:hAnsi="宋体"/>
                <w:sz w:val="24"/>
              </w:rPr>
            </w:pPr>
            <w:r>
              <w:rPr>
                <w:rFonts w:ascii="宋体" w:hAnsi="宋体"/>
                <w:sz w:val="24"/>
              </w:rPr>
              <w:t>8</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68" w:type="dxa"/>
            <w:vAlign w:val="center"/>
          </w:tcPr>
          <w:p>
            <w:pPr>
              <w:spacing w:line="360" w:lineRule="auto"/>
              <w:jc w:val="center"/>
              <w:rPr>
                <w:rFonts w:ascii="宋体" w:hAnsi="宋体"/>
                <w:sz w:val="24"/>
              </w:rPr>
            </w:pPr>
            <w:r>
              <w:rPr>
                <w:rFonts w:hint="eastAsia" w:ascii="宋体" w:hAnsi="宋体"/>
                <w:sz w:val="24"/>
              </w:rPr>
              <w:t>三</w:t>
            </w:r>
          </w:p>
        </w:tc>
        <w:tc>
          <w:tcPr>
            <w:tcW w:w="1771" w:type="dxa"/>
            <w:vAlign w:val="center"/>
          </w:tcPr>
          <w:p>
            <w:pPr>
              <w:pStyle w:val="18"/>
              <w:spacing w:after="0" w:line="360" w:lineRule="auto"/>
              <w:ind w:left="0" w:leftChars="0" w:firstLine="0" w:firstLineChars="0"/>
              <w:rPr>
                <w:rFonts w:ascii="宋体" w:hAnsi="宋体" w:eastAsia="宋体" w:cs="宋体"/>
                <w:sz w:val="24"/>
                <w:szCs w:val="20"/>
              </w:rPr>
            </w:pPr>
            <w:r>
              <w:rPr>
                <w:rFonts w:hint="eastAsia" w:ascii="宋体" w:hAnsi="宋体" w:eastAsia="宋体" w:cs="宋体"/>
                <w:sz w:val="24"/>
                <w:szCs w:val="20"/>
              </w:rPr>
              <w:t>其他主要人员</w:t>
            </w:r>
          </w:p>
        </w:tc>
        <w:tc>
          <w:tcPr>
            <w:tcW w:w="5670" w:type="dxa"/>
            <w:vAlign w:val="center"/>
          </w:tcPr>
          <w:p>
            <w:pPr>
              <w:pStyle w:val="18"/>
              <w:spacing w:after="0" w:line="360" w:lineRule="auto"/>
              <w:ind w:left="0" w:leftChars="0" w:firstLine="0" w:firstLineChars="0"/>
              <w:rPr>
                <w:rFonts w:ascii="宋体" w:hAnsi="宋体" w:eastAsia="宋体" w:cs="宋体"/>
                <w:sz w:val="24"/>
                <w:szCs w:val="20"/>
              </w:rPr>
            </w:pPr>
            <w:r>
              <w:rPr>
                <w:rFonts w:hint="eastAsia" w:ascii="宋体" w:hAnsi="宋体" w:eastAsia="宋体" w:cs="宋体"/>
                <w:sz w:val="24"/>
                <w:szCs w:val="20"/>
              </w:rPr>
              <w:t>其他拟委派人员（除项目负责人、技术负责人外）每具有1个相关专业中级及以上职称的，得2分，最多得6分。</w:t>
            </w:r>
          </w:p>
        </w:tc>
        <w:tc>
          <w:tcPr>
            <w:tcW w:w="954" w:type="dxa"/>
            <w:vAlign w:val="center"/>
          </w:tcPr>
          <w:p>
            <w:pPr>
              <w:spacing w:line="360" w:lineRule="auto"/>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1368" w:type="dxa"/>
            <w:vAlign w:val="center"/>
          </w:tcPr>
          <w:p>
            <w:pPr>
              <w:spacing w:line="360" w:lineRule="auto"/>
              <w:jc w:val="center"/>
              <w:rPr>
                <w:rFonts w:ascii="宋体" w:hAnsi="宋体"/>
                <w:sz w:val="24"/>
              </w:rPr>
            </w:pPr>
            <w:r>
              <w:rPr>
                <w:rFonts w:hint="eastAsia" w:ascii="宋体" w:hAnsi="宋体"/>
                <w:sz w:val="24"/>
              </w:rPr>
              <w:t>四</w:t>
            </w:r>
          </w:p>
        </w:tc>
        <w:tc>
          <w:tcPr>
            <w:tcW w:w="1771" w:type="dxa"/>
            <w:vAlign w:val="center"/>
          </w:tcPr>
          <w:p>
            <w:pPr>
              <w:spacing w:line="360" w:lineRule="auto"/>
              <w:jc w:val="center"/>
              <w:rPr>
                <w:rFonts w:ascii="宋体" w:hAnsi="宋体"/>
                <w:sz w:val="24"/>
              </w:rPr>
            </w:pPr>
            <w:r>
              <w:rPr>
                <w:rFonts w:hint="eastAsia" w:ascii="宋体" w:hAnsi="宋体"/>
                <w:sz w:val="24"/>
              </w:rPr>
              <w:t>服务方案</w:t>
            </w:r>
          </w:p>
        </w:tc>
        <w:tc>
          <w:tcPr>
            <w:tcW w:w="5670" w:type="dxa"/>
            <w:vAlign w:val="center"/>
          </w:tcPr>
          <w:p>
            <w:pPr>
              <w:spacing w:line="360" w:lineRule="auto"/>
              <w:rPr>
                <w:rFonts w:ascii="宋体" w:hAnsi="宋体"/>
                <w:sz w:val="24"/>
              </w:rPr>
            </w:pPr>
            <w:r>
              <w:rPr>
                <w:rFonts w:hint="eastAsia" w:ascii="宋体" w:hAnsi="宋体"/>
                <w:sz w:val="24"/>
              </w:rPr>
              <w:t>1、根据实施方案及总体计划的全面性、完善性、针对性评分，优得6-</w:t>
            </w:r>
            <w:r>
              <w:rPr>
                <w:rFonts w:ascii="宋体" w:hAnsi="宋体"/>
                <w:sz w:val="24"/>
              </w:rPr>
              <w:t>7</w:t>
            </w:r>
            <w:r>
              <w:rPr>
                <w:rFonts w:hint="eastAsia" w:ascii="宋体" w:hAnsi="宋体"/>
                <w:sz w:val="24"/>
              </w:rPr>
              <w:t>分，良得3-5分，一般得0-2分。</w:t>
            </w:r>
          </w:p>
          <w:p>
            <w:pPr>
              <w:spacing w:line="360" w:lineRule="auto"/>
              <w:rPr>
                <w:rFonts w:ascii="宋体" w:hAnsi="宋体"/>
                <w:sz w:val="24"/>
              </w:rPr>
            </w:pPr>
            <w:r>
              <w:rPr>
                <w:rFonts w:hint="eastAsia" w:ascii="宋体" w:hAnsi="宋体"/>
                <w:sz w:val="24"/>
              </w:rPr>
              <w:t>2、根据质量及进度保障措施的完备性、针对性、有效性评分，优得6-</w:t>
            </w:r>
            <w:r>
              <w:rPr>
                <w:rFonts w:ascii="宋体" w:hAnsi="宋体"/>
                <w:sz w:val="24"/>
              </w:rPr>
              <w:t>7</w:t>
            </w:r>
            <w:r>
              <w:rPr>
                <w:rFonts w:hint="eastAsia" w:ascii="宋体" w:hAnsi="宋体"/>
                <w:sz w:val="24"/>
              </w:rPr>
              <w:t>分，良得3-5分，一般得0-2分。</w:t>
            </w:r>
          </w:p>
          <w:p>
            <w:pPr>
              <w:spacing w:line="360" w:lineRule="auto"/>
              <w:rPr>
                <w:rFonts w:ascii="宋体" w:hAnsi="宋体"/>
                <w:sz w:val="24"/>
              </w:rPr>
            </w:pPr>
            <w:r>
              <w:rPr>
                <w:rFonts w:hint="eastAsia" w:ascii="宋体" w:hAnsi="宋体"/>
                <w:sz w:val="24"/>
              </w:rPr>
              <w:t>3、服务方案：对服务方案、服务措施进行酌情评分，优得6-</w:t>
            </w:r>
            <w:r>
              <w:rPr>
                <w:rFonts w:ascii="宋体" w:hAnsi="宋体"/>
                <w:sz w:val="24"/>
              </w:rPr>
              <w:t>7</w:t>
            </w:r>
            <w:r>
              <w:rPr>
                <w:rFonts w:hint="eastAsia" w:ascii="宋体" w:hAnsi="宋体"/>
                <w:sz w:val="24"/>
              </w:rPr>
              <w:t>分，良得3-5分，一般得0-2分。</w:t>
            </w:r>
          </w:p>
        </w:tc>
        <w:tc>
          <w:tcPr>
            <w:tcW w:w="954" w:type="dxa"/>
            <w:vAlign w:val="center"/>
          </w:tcPr>
          <w:p>
            <w:pPr>
              <w:spacing w:line="360" w:lineRule="auto"/>
              <w:jc w:val="center"/>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68" w:type="dxa"/>
            <w:vAlign w:val="center"/>
          </w:tcPr>
          <w:p>
            <w:pPr>
              <w:spacing w:line="360" w:lineRule="auto"/>
              <w:jc w:val="center"/>
              <w:rPr>
                <w:rFonts w:ascii="宋体" w:hAnsi="宋体"/>
                <w:sz w:val="24"/>
              </w:rPr>
            </w:pPr>
            <w:r>
              <w:rPr>
                <w:rFonts w:hint="eastAsia" w:ascii="宋体" w:hAnsi="宋体"/>
                <w:sz w:val="24"/>
              </w:rPr>
              <w:t>五</w:t>
            </w:r>
          </w:p>
        </w:tc>
        <w:tc>
          <w:tcPr>
            <w:tcW w:w="1771" w:type="dxa"/>
            <w:vAlign w:val="center"/>
          </w:tcPr>
          <w:p>
            <w:pPr>
              <w:spacing w:line="360" w:lineRule="auto"/>
              <w:jc w:val="center"/>
              <w:rPr>
                <w:rFonts w:ascii="宋体" w:hAnsi="宋体"/>
                <w:sz w:val="24"/>
              </w:rPr>
            </w:pPr>
            <w:r>
              <w:rPr>
                <w:rFonts w:hint="eastAsia" w:ascii="宋体" w:hAnsi="宋体"/>
                <w:sz w:val="24"/>
              </w:rPr>
              <w:t>谈判报价</w:t>
            </w:r>
          </w:p>
        </w:tc>
        <w:tc>
          <w:tcPr>
            <w:tcW w:w="5670" w:type="dxa"/>
            <w:vAlign w:val="center"/>
          </w:tcPr>
          <w:p>
            <w:pPr>
              <w:spacing w:line="360" w:lineRule="auto"/>
              <w:rPr>
                <w:rFonts w:ascii="宋体" w:hAnsi="宋体"/>
                <w:sz w:val="24"/>
                <w:szCs w:val="22"/>
              </w:rPr>
            </w:pPr>
            <w:r>
              <w:rPr>
                <w:rFonts w:hint="eastAsia" w:ascii="宋体" w:hAnsi="宋体"/>
                <w:sz w:val="24"/>
                <w:szCs w:val="22"/>
              </w:rPr>
              <w:t>通过初步评审的所有有效报价</w:t>
            </w:r>
            <w:r>
              <w:rPr>
                <w:rFonts w:hint="eastAsia" w:ascii="宋体" w:hAnsi="宋体"/>
                <w:sz w:val="24"/>
              </w:rPr>
              <w:t>的算数平均值</w:t>
            </w:r>
            <w:r>
              <w:rPr>
                <w:rFonts w:hint="eastAsia" w:ascii="宋体" w:hAnsi="宋体"/>
                <w:sz w:val="24"/>
                <w:szCs w:val="22"/>
              </w:rPr>
              <w:t>为评标基准价。计算方式如下：</w:t>
            </w:r>
          </w:p>
          <w:p>
            <w:pPr>
              <w:spacing w:line="360" w:lineRule="auto"/>
              <w:rPr>
                <w:rFonts w:ascii="宋体" w:hAnsi="宋体"/>
                <w:sz w:val="24"/>
                <w:szCs w:val="22"/>
              </w:rPr>
            </w:pPr>
            <w:r>
              <w:rPr>
                <w:rFonts w:hint="eastAsia" w:ascii="宋体" w:hAnsi="宋体"/>
                <w:sz w:val="24"/>
                <w:szCs w:val="22"/>
              </w:rPr>
              <w:t>（1）与评标基准价相比，等于评标基准价的得满分。</w:t>
            </w:r>
          </w:p>
          <w:p>
            <w:pPr>
              <w:spacing w:line="360" w:lineRule="auto"/>
              <w:rPr>
                <w:rFonts w:ascii="宋体" w:hAnsi="宋体"/>
                <w:sz w:val="24"/>
                <w:szCs w:val="22"/>
              </w:rPr>
            </w:pPr>
            <w:r>
              <w:rPr>
                <w:rFonts w:hint="eastAsia" w:ascii="宋体" w:hAnsi="宋体"/>
                <w:sz w:val="24"/>
                <w:szCs w:val="22"/>
              </w:rPr>
              <w:t>（2）与评标基准价相比，每高于评标基准价1%扣1分，每低于评标基准价的1%扣0.5分，不足1%按1%计算，扣完为止，得分保留2位小数。</w:t>
            </w:r>
          </w:p>
          <w:p>
            <w:pPr>
              <w:spacing w:line="360" w:lineRule="auto"/>
              <w:rPr>
                <w:rFonts w:ascii="宋体" w:hAnsi="宋体"/>
                <w:sz w:val="24"/>
              </w:rPr>
            </w:pPr>
            <w:r>
              <w:rPr>
                <w:rFonts w:hint="eastAsia" w:ascii="宋体" w:hAnsi="宋体"/>
                <w:sz w:val="24"/>
                <w:szCs w:val="22"/>
              </w:rPr>
              <w:t>报价偏差率=∣（响应人最终报价-评标基准价）∣/评标基准价×100%</w:t>
            </w:r>
          </w:p>
        </w:tc>
        <w:tc>
          <w:tcPr>
            <w:tcW w:w="954" w:type="dxa"/>
            <w:vAlign w:val="center"/>
          </w:tcPr>
          <w:p>
            <w:pPr>
              <w:spacing w:line="360" w:lineRule="auto"/>
              <w:jc w:val="center"/>
              <w:rPr>
                <w:rFonts w:ascii="宋体" w:hAnsi="宋体"/>
                <w:sz w:val="24"/>
              </w:rPr>
            </w:pPr>
            <w:r>
              <w:rPr>
                <w:rFonts w:hint="eastAsia" w:ascii="宋体" w:hAnsi="宋体"/>
                <w:sz w:val="24"/>
              </w:rPr>
              <w:t>50分</w:t>
            </w:r>
          </w:p>
        </w:tc>
      </w:tr>
    </w:tbl>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（4）编写竞争性谈判报告</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谈判小组将根据经评审的响应人的价格由低至高进行排序，报价最低的前三位的响应人推荐为成交候选人。</w:t>
      </w:r>
      <w:bookmarkEnd w:id="87"/>
      <w:bookmarkStart w:id="88" w:name="_Toc466206536"/>
    </w:p>
    <w:p>
      <w:pPr>
        <w:widowControl/>
        <w:spacing w:line="360" w:lineRule="auto"/>
        <w:jc w:val="center"/>
        <w:rPr>
          <w:rFonts w:ascii="宋体" w:hAnsi="宋体"/>
          <w:bCs/>
          <w:sz w:val="24"/>
        </w:rPr>
      </w:pPr>
    </w:p>
    <w:p>
      <w:pPr>
        <w:widowControl/>
        <w:spacing w:line="360" w:lineRule="auto"/>
        <w:jc w:val="center"/>
        <w:rPr>
          <w:rFonts w:ascii="宋体" w:hAnsi="宋体"/>
          <w:bCs/>
          <w:sz w:val="24"/>
        </w:rPr>
      </w:pPr>
    </w:p>
    <w:p>
      <w:pPr>
        <w:widowControl/>
        <w:spacing w:line="360" w:lineRule="auto"/>
        <w:rPr>
          <w:rFonts w:ascii="宋体" w:hAnsi="宋体"/>
          <w:bCs/>
          <w:sz w:val="24"/>
        </w:rPr>
      </w:pPr>
    </w:p>
    <w:p>
      <w:pPr>
        <w:widowControl/>
        <w:spacing w:line="360" w:lineRule="auto"/>
        <w:jc w:val="center"/>
        <w:rPr>
          <w:rFonts w:ascii="宋体" w:hAnsi="宋体"/>
          <w:bCs/>
          <w:sz w:val="24"/>
        </w:rPr>
      </w:pPr>
    </w:p>
    <w:p>
      <w:pPr>
        <w:jc w:val="center"/>
        <w:rPr>
          <w:rFonts w:ascii="方正小标宋简体" w:hAnsi="方正小标宋简体" w:eastAsia="方正小标宋简体" w:cs="方正小标宋简体"/>
          <w:kern w:val="44"/>
          <w:sz w:val="32"/>
          <w:szCs w:val="32"/>
        </w:rPr>
      </w:pPr>
      <w:bookmarkStart w:id="89" w:name="_Toc116568321"/>
    </w:p>
    <w:p>
      <w:pPr>
        <w:jc w:val="center"/>
        <w:rPr>
          <w:rFonts w:ascii="方正小标宋简体" w:hAnsi="方正小标宋简体" w:eastAsia="方正小标宋简体" w:cs="方正小标宋简体"/>
          <w:kern w:val="44"/>
          <w:sz w:val="32"/>
          <w:szCs w:val="32"/>
        </w:rPr>
      </w:pPr>
    </w:p>
    <w:p>
      <w:pPr>
        <w:jc w:val="center"/>
        <w:outlineLvl w:val="0"/>
        <w:rPr>
          <w:rFonts w:ascii="方正小标宋简体" w:hAnsi="方正小标宋简体" w:eastAsia="方正小标宋简体" w:cs="方正小标宋简体"/>
          <w:kern w:val="44"/>
          <w:sz w:val="32"/>
          <w:szCs w:val="32"/>
        </w:rPr>
      </w:pPr>
      <w:r>
        <w:rPr>
          <w:rFonts w:hint="eastAsia" w:ascii="方正小标宋简体" w:hAnsi="方正小标宋简体" w:eastAsia="方正小标宋简体" w:cs="方正小标宋简体"/>
          <w:kern w:val="44"/>
          <w:sz w:val="32"/>
          <w:szCs w:val="32"/>
        </w:rPr>
        <w:t>第四章  合同条款及格式</w:t>
      </w:r>
      <w:bookmarkEnd w:id="88"/>
      <w:bookmarkEnd w:id="89"/>
    </w:p>
    <w:p>
      <w:pPr>
        <w:spacing w:line="560" w:lineRule="exact"/>
        <w:ind w:firstLine="560" w:firstLineChars="200"/>
        <w:outlineLvl w:val="2"/>
        <w:rPr>
          <w:rFonts w:ascii="黑体" w:hAnsi="黑体" w:eastAsia="黑体" w:cs="黑体"/>
          <w:sz w:val="28"/>
          <w:szCs w:val="28"/>
        </w:rPr>
      </w:pPr>
      <w:bookmarkStart w:id="90" w:name="_Toc116568322"/>
      <w:bookmarkStart w:id="91" w:name="_Toc466206538"/>
      <w:r>
        <w:rPr>
          <w:rFonts w:hint="eastAsia" w:ascii="黑体" w:hAnsi="黑体" w:eastAsia="黑体" w:cs="黑体"/>
          <w:sz w:val="28"/>
          <w:szCs w:val="28"/>
        </w:rPr>
        <w:t>一、采购合同草案条款变动</w:t>
      </w:r>
      <w:bookmarkEnd w:id="90"/>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针对本章所包含的全部内容，在谈判过程中，谈判小组在获得采购人代表确认的前提下，可以根据谈判情况实质性变动相关内容。谈判小组对谈判文件作出的实质性变动是谈判文件的有效组成部分，谈判小组会及时以书面形式通知所有参加谈判的响应人。</w:t>
      </w:r>
    </w:p>
    <w:p>
      <w:pPr>
        <w:autoSpaceDE w:val="0"/>
        <w:autoSpaceDN w:val="0"/>
        <w:snapToGrid w:val="0"/>
        <w:spacing w:line="560" w:lineRule="exact"/>
        <w:ind w:firstLine="560" w:firstLineChars="200"/>
        <w:outlineLvl w:val="2"/>
        <w:rPr>
          <w:rFonts w:ascii="黑体" w:hAnsi="黑体" w:eastAsia="黑体" w:cs="黑体"/>
          <w:sz w:val="28"/>
          <w:szCs w:val="28"/>
        </w:rPr>
      </w:pPr>
      <w:bookmarkStart w:id="92" w:name="_Toc116568323"/>
      <w:bookmarkStart w:id="93" w:name="_Toc14697"/>
      <w:r>
        <w:rPr>
          <w:rFonts w:hint="eastAsia" w:ascii="黑体" w:hAnsi="黑体" w:eastAsia="黑体" w:cs="黑体"/>
          <w:sz w:val="28"/>
          <w:szCs w:val="28"/>
        </w:rPr>
        <w:t>二、采购合同（草案）</w:t>
      </w:r>
      <w:bookmarkEnd w:id="92"/>
      <w:bookmarkEnd w:id="93"/>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附后</w:t>
      </w:r>
    </w:p>
    <w:p>
      <w:pPr>
        <w:rPr>
          <w:rFonts w:ascii="黑体" w:hAnsi="黑体" w:eastAsia="黑体" w:cs="黑体"/>
          <w:sz w:val="28"/>
          <w:szCs w:val="36"/>
        </w:rPr>
      </w:pPr>
    </w:p>
    <w:p>
      <w:pPr>
        <w:snapToGrid w:val="0"/>
        <w:spacing w:line="560" w:lineRule="exact"/>
        <w:ind w:right="-58"/>
        <w:rPr>
          <w:rFonts w:ascii="黑体" w:hAnsi="黑体" w:eastAsia="黑体" w:cs="黑体"/>
          <w:sz w:val="28"/>
          <w:szCs w:val="36"/>
          <w:highlight w:val="yellow"/>
        </w:rPr>
        <w:sectPr>
          <w:footerReference r:id="rId4" w:type="default"/>
          <w:pgSz w:w="11906" w:h="16838"/>
          <w:pgMar w:top="1440" w:right="1800" w:bottom="1440" w:left="1800" w:header="851" w:footer="992" w:gutter="0"/>
          <w:pgNumType w:start="1"/>
          <w:cols w:space="425" w:num="1"/>
          <w:docGrid w:type="lines" w:linePitch="312" w:charSpace="0"/>
        </w:sectPr>
      </w:pPr>
    </w:p>
    <w:p>
      <w:pPr>
        <w:snapToGrid w:val="0"/>
        <w:spacing w:line="560" w:lineRule="exact"/>
        <w:ind w:right="-58"/>
        <w:rPr>
          <w:rFonts w:ascii="仿宋_GB2312" w:hAnsi="仿宋_GB2312" w:eastAsia="仿宋_GB2312" w:cs="仿宋_GB2312"/>
          <w:b/>
          <w:sz w:val="28"/>
          <w:szCs w:val="28"/>
        </w:rPr>
      </w:pPr>
      <w:r>
        <w:rPr>
          <w:rFonts w:hint="eastAsia" w:ascii="仿宋_GB2312" w:hAnsi="仿宋_GB2312" w:eastAsia="仿宋_GB2312" w:cs="仿宋_GB2312"/>
          <w:sz w:val="28"/>
          <w:szCs w:val="36"/>
        </w:rPr>
        <w:t xml:space="preserve">编号：GYRJ-2022-QT-25 </w:t>
      </w:r>
    </w:p>
    <w:p>
      <w:pPr>
        <w:snapToGrid w:val="0"/>
        <w:spacing w:line="360" w:lineRule="auto"/>
        <w:jc w:val="center"/>
        <w:rPr>
          <w:spacing w:val="40"/>
          <w:sz w:val="32"/>
        </w:rPr>
      </w:pPr>
    </w:p>
    <w:p>
      <w:pPr>
        <w:snapToGrid w:val="0"/>
        <w:spacing w:line="360" w:lineRule="auto"/>
        <w:jc w:val="center"/>
        <w:rPr>
          <w:spacing w:val="40"/>
          <w:sz w:val="32"/>
        </w:rPr>
      </w:pPr>
    </w:p>
    <w:p>
      <w:pPr>
        <w:spacing w:line="7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四川能投广元燃机工程</w:t>
      </w:r>
    </w:p>
    <w:p>
      <w:pPr>
        <w:spacing w:line="7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第二批至第五批辅机设备招标工作协助服务单位选聘</w:t>
      </w:r>
    </w:p>
    <w:p>
      <w:pPr>
        <w:pStyle w:val="22"/>
      </w:pPr>
    </w:p>
    <w:p>
      <w:pPr>
        <w:spacing w:line="288" w:lineRule="auto"/>
        <w:jc w:val="center"/>
        <w:rPr>
          <w:rFonts w:ascii="宋体" w:hAnsi="宋体" w:cs="宋体"/>
          <w:b/>
          <w:sz w:val="52"/>
          <w:szCs w:val="52"/>
        </w:rPr>
      </w:pPr>
    </w:p>
    <w:p>
      <w:pPr>
        <w:spacing w:line="288"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合</w:t>
      </w:r>
    </w:p>
    <w:p>
      <w:pPr>
        <w:spacing w:line="288"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同</w:t>
      </w:r>
    </w:p>
    <w:p>
      <w:pPr>
        <w:spacing w:line="288"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文</w:t>
      </w:r>
    </w:p>
    <w:p>
      <w:pPr>
        <w:spacing w:line="288"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件</w:t>
      </w:r>
    </w:p>
    <w:p>
      <w:pPr>
        <w:pStyle w:val="26"/>
        <w:ind w:firstLine="800"/>
        <w:rPr>
          <w:spacing w:val="40"/>
          <w:sz w:val="32"/>
        </w:rPr>
      </w:pPr>
    </w:p>
    <w:p>
      <w:pPr>
        <w:snapToGrid w:val="0"/>
        <w:spacing w:line="360" w:lineRule="auto"/>
        <w:jc w:val="center"/>
        <w:rPr>
          <w:rFonts w:eastAsia="楷体_GB2312"/>
        </w:rPr>
      </w:pPr>
    </w:p>
    <w:p>
      <w:pPr>
        <w:pStyle w:val="7"/>
      </w:pPr>
    </w:p>
    <w:p>
      <w:pPr>
        <w:snapToGrid w:val="0"/>
        <w:spacing w:line="360" w:lineRule="auto"/>
        <w:jc w:val="center"/>
        <w:rPr>
          <w:rFonts w:eastAsia="楷体_GB2312"/>
        </w:rPr>
      </w:pPr>
    </w:p>
    <w:p>
      <w:pPr>
        <w:spacing w:line="700" w:lineRule="exact"/>
        <w:ind w:firstLine="643" w:firstLineChars="200"/>
        <w:rPr>
          <w:rFonts w:ascii="仿宋_GB2312" w:hAnsi="楷体_GB2312" w:eastAsia="仿宋_GB2312"/>
          <w:kern w:val="0"/>
          <w:sz w:val="32"/>
          <w:szCs w:val="32"/>
          <w:u w:val="single"/>
        </w:rPr>
      </w:pPr>
      <w:r>
        <w:rPr>
          <w:rFonts w:hint="eastAsia" w:ascii="仿宋_GB2312" w:hAnsi="楷体_GB2312" w:eastAsia="仿宋_GB2312"/>
          <w:b/>
          <w:kern w:val="0"/>
          <w:sz w:val="32"/>
          <w:szCs w:val="32"/>
        </w:rPr>
        <w:t>委托方</w:t>
      </w:r>
      <w:r>
        <w:rPr>
          <w:rFonts w:hint="eastAsia" w:ascii="仿宋_GB2312" w:hAnsi="楷体_GB2312" w:eastAsia="仿宋_GB2312"/>
          <w:kern w:val="0"/>
          <w:sz w:val="32"/>
          <w:szCs w:val="32"/>
        </w:rPr>
        <w:t>（甲方）：</w:t>
      </w:r>
      <w:r>
        <w:rPr>
          <w:rFonts w:hint="eastAsia" w:ascii="仿宋_GB2312" w:hAnsi="楷体_GB2312" w:eastAsia="仿宋_GB2312"/>
          <w:kern w:val="0"/>
          <w:sz w:val="32"/>
          <w:szCs w:val="32"/>
          <w:u w:val="single"/>
        </w:rPr>
        <w:t xml:space="preserve"> 四川能投广元燃气发电有限公司     </w:t>
      </w:r>
    </w:p>
    <w:p>
      <w:pPr>
        <w:spacing w:line="700" w:lineRule="exact"/>
        <w:ind w:firstLine="643" w:firstLineChars="200"/>
        <w:rPr>
          <w:rFonts w:ascii="仿宋_GB2312" w:hAnsi="楷体_GB2312" w:eastAsia="仿宋_GB2312"/>
          <w:kern w:val="0"/>
          <w:sz w:val="32"/>
          <w:szCs w:val="32"/>
          <w:u w:val="single"/>
        </w:rPr>
      </w:pPr>
      <w:r>
        <w:rPr>
          <w:rFonts w:hint="eastAsia" w:ascii="仿宋_GB2312" w:hAnsi="楷体_GB2312" w:eastAsia="仿宋_GB2312"/>
          <w:b/>
          <w:kern w:val="0"/>
          <w:sz w:val="32"/>
          <w:szCs w:val="32"/>
        </w:rPr>
        <w:t>受托方</w:t>
      </w:r>
      <w:r>
        <w:rPr>
          <w:rFonts w:hint="eastAsia" w:ascii="仿宋_GB2312" w:hAnsi="楷体_GB2312" w:eastAsia="仿宋_GB2312"/>
          <w:kern w:val="0"/>
          <w:sz w:val="32"/>
          <w:szCs w:val="32"/>
        </w:rPr>
        <w:t>（乙方）：</w:t>
      </w:r>
      <w:r>
        <w:rPr>
          <w:rFonts w:hint="eastAsia" w:ascii="仿宋_GB2312" w:hAnsi="楷体_GB2312" w:eastAsia="仿宋_GB2312"/>
          <w:kern w:val="0"/>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楷体_GB2312" w:eastAsia="仿宋_GB2312"/>
          <w:kern w:val="0"/>
          <w:sz w:val="32"/>
          <w:szCs w:val="32"/>
          <w:u w:val="single"/>
        </w:rPr>
        <w:t xml:space="preserve">    </w:t>
      </w:r>
    </w:p>
    <w:p>
      <w:pPr>
        <w:spacing w:line="700" w:lineRule="exact"/>
        <w:ind w:firstLine="1928" w:firstLineChars="600"/>
        <w:rPr>
          <w:rFonts w:ascii="仿宋_GB2312" w:hAnsi="楷体_GB2312" w:eastAsia="仿宋_GB2312"/>
          <w:b/>
          <w:kern w:val="0"/>
          <w:sz w:val="32"/>
          <w:szCs w:val="32"/>
        </w:rPr>
      </w:pPr>
    </w:p>
    <w:p>
      <w:pPr>
        <w:spacing w:line="700" w:lineRule="exact"/>
        <w:ind w:firstLine="3213" w:firstLineChars="1000"/>
        <w:rPr>
          <w:rFonts w:ascii="仿宋_GB2312" w:hAnsi="楷体_GB2312" w:eastAsia="仿宋_GB2312"/>
          <w:bCs/>
          <w:kern w:val="0"/>
          <w:sz w:val="32"/>
          <w:szCs w:val="32"/>
        </w:rPr>
      </w:pPr>
      <w:r>
        <w:rPr>
          <w:rFonts w:hint="eastAsia" w:ascii="仿宋_GB2312" w:hAnsi="楷体_GB2312" w:eastAsia="仿宋_GB2312"/>
          <w:b/>
          <w:kern w:val="0"/>
          <w:sz w:val="32"/>
          <w:szCs w:val="32"/>
        </w:rPr>
        <w:t xml:space="preserve"> </w:t>
      </w:r>
      <w:r>
        <w:rPr>
          <w:rFonts w:hint="eastAsia" w:ascii="仿宋_GB2312" w:hAnsi="楷体_GB2312" w:eastAsia="仿宋_GB2312"/>
          <w:bCs/>
          <w:kern w:val="0"/>
          <w:sz w:val="32"/>
          <w:szCs w:val="32"/>
        </w:rPr>
        <w:t xml:space="preserve">  2022 年 </w:t>
      </w:r>
      <w:r>
        <w:rPr>
          <w:rFonts w:ascii="仿宋_GB2312" w:hAnsi="楷体_GB2312" w:eastAsia="仿宋_GB2312"/>
          <w:bCs/>
          <w:kern w:val="0"/>
          <w:sz w:val="32"/>
          <w:szCs w:val="32"/>
        </w:rPr>
        <w:t>10</w:t>
      </w:r>
      <w:r>
        <w:rPr>
          <w:rFonts w:hint="eastAsia" w:ascii="仿宋_GB2312" w:hAnsi="楷体_GB2312" w:eastAsia="仿宋_GB2312"/>
          <w:bCs/>
          <w:kern w:val="0"/>
          <w:sz w:val="32"/>
          <w:szCs w:val="32"/>
        </w:rPr>
        <w:t xml:space="preserve"> 月</w:t>
      </w:r>
    </w:p>
    <w:p>
      <w:pPr>
        <w:pStyle w:val="7"/>
      </w:pPr>
    </w:p>
    <w:p>
      <w:pPr>
        <w:snapToGrid w:val="0"/>
        <w:spacing w:line="360" w:lineRule="auto"/>
        <w:ind w:firstLine="539"/>
        <w:jc w:val="center"/>
        <w:rPr>
          <w:rFonts w:eastAsia="黑体"/>
          <w:spacing w:val="60"/>
          <w:sz w:val="44"/>
        </w:rPr>
      </w:pPr>
    </w:p>
    <w:p>
      <w:pPr>
        <w:pStyle w:val="3"/>
        <w:spacing w:before="20" w:after="260" w:line="640" w:lineRule="exact"/>
        <w:jc w:val="center"/>
        <w:rPr>
          <w:rFonts w:eastAsia="黑体"/>
          <w:spacing w:val="60"/>
        </w:rPr>
      </w:pPr>
      <w:r>
        <w:rPr>
          <w:rFonts w:hint="eastAsia" w:eastAsia="黑体"/>
          <w:spacing w:val="60"/>
        </w:rPr>
        <w:t>咨询</w:t>
      </w:r>
      <w:r>
        <w:rPr>
          <w:rFonts w:eastAsia="黑体"/>
          <w:spacing w:val="60"/>
        </w:rPr>
        <w:t>服务合同书</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鉴于：</w:t>
      </w:r>
    </w:p>
    <w:p>
      <w:pPr>
        <w:snapToGrid w:val="0"/>
        <w:spacing w:line="560" w:lineRule="exact"/>
        <w:ind w:firstLine="640" w:firstLineChars="200"/>
        <w:rPr>
          <w:sz w:val="32"/>
          <w:szCs w:val="32"/>
        </w:rPr>
      </w:pPr>
      <w:r>
        <w:rPr>
          <w:rFonts w:hint="eastAsia" w:ascii="仿宋_GB2312" w:hAnsi="仿宋_GB2312" w:eastAsia="仿宋_GB2312" w:cs="仿宋_GB2312"/>
          <w:sz w:val="32"/>
          <w:szCs w:val="32"/>
        </w:rPr>
        <w:t>本合同签约各方就本合同书中所描述的服务内容、工作条件、费用支付、验收标准、违约责任以及与之相关的技术和法律问题经过平等协商，在真实、充分地表达各自意愿的基础上，根据《中华人民共和国民法典》及相关法律法规的规定，达成如下协议，由签约各方共同恪守。</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第一条  签约方</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甲方（委托方）：</w:t>
      </w:r>
      <w:r>
        <w:rPr>
          <w:rFonts w:hint="eastAsia" w:ascii="仿宋_GB2312" w:hAnsi="楷体_GB2312" w:eastAsia="仿宋_GB2312"/>
          <w:kern w:val="0"/>
          <w:sz w:val="32"/>
          <w:szCs w:val="32"/>
          <w:u w:val="single"/>
        </w:rPr>
        <w:t xml:space="preserve">四川能投广元燃气发电有限公司 </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乙方（受托方）：</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第二条  合同性质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本合同属于服务合同。</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第三条  签约时间和地点</w:t>
      </w:r>
    </w:p>
    <w:p>
      <w:pPr>
        <w:snapToGrid w:val="0"/>
        <w:spacing w:line="560" w:lineRule="exact"/>
        <w:ind w:firstLine="640" w:firstLineChars="200"/>
        <w:rPr>
          <w:sz w:val="32"/>
          <w:szCs w:val="32"/>
        </w:rPr>
      </w:pPr>
      <w:r>
        <w:rPr>
          <w:rFonts w:hint="eastAsia" w:ascii="仿宋_GB2312" w:hAnsi="仿宋_GB2312" w:eastAsia="仿宋_GB2312" w:cs="仿宋_GB2312"/>
          <w:sz w:val="32"/>
          <w:szCs w:val="32"/>
        </w:rPr>
        <w:t>本合同由上述签约方于</w:t>
      </w:r>
      <w:r>
        <w:rPr>
          <w:rFonts w:hint="eastAsia" w:ascii="仿宋_GB2312" w:hAnsi="仿宋_GB2312" w:eastAsia="仿宋_GB2312" w:cs="仿宋_GB2312"/>
          <w:sz w:val="32"/>
          <w:szCs w:val="32"/>
          <w:u w:val="single"/>
        </w:rPr>
        <w:t xml:space="preserve"> 2022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签订。</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第四条  项目名称</w:t>
      </w:r>
    </w:p>
    <w:p>
      <w:pPr>
        <w:spacing w:line="288" w:lineRule="auto"/>
        <w:ind w:firstLine="640" w:firstLineChars="200"/>
        <w:rPr>
          <w:rFonts w:hAnsi="Courier New"/>
          <w:sz w:val="32"/>
          <w:szCs w:val="32"/>
        </w:rPr>
      </w:pPr>
      <w:r>
        <w:rPr>
          <w:rFonts w:hint="eastAsia" w:ascii="仿宋_GB2312" w:hAnsi="仿宋_GB2312" w:eastAsia="仿宋_GB2312" w:cs="仿宋_GB2312"/>
          <w:sz w:val="32"/>
          <w:szCs w:val="32"/>
        </w:rPr>
        <w:t>四川能投广元燃机工程</w:t>
      </w:r>
      <w:r>
        <w:rPr>
          <w:rFonts w:hint="eastAsia" w:ascii="仿宋_GB2312" w:hAnsi="仿宋_GB2312" w:eastAsia="仿宋_GB2312" w:cs="仿宋_GB2312"/>
          <w:sz w:val="32"/>
          <w:szCs w:val="32"/>
          <w:lang w:eastAsia="zh-CN"/>
        </w:rPr>
        <w:t>第二批至第五批辅机设备招标工作协助服务单位选聘</w:t>
      </w:r>
      <w:r>
        <w:rPr>
          <w:rFonts w:hint="eastAsia" w:ascii="仿宋_GB2312" w:hAnsi="仿宋_GB2312" w:eastAsia="仿宋_GB2312" w:cs="仿宋_GB2312"/>
          <w:sz w:val="32"/>
          <w:szCs w:val="32"/>
        </w:rPr>
        <w:t>。</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第五条  工作内容及范围</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1对四川能投广元燃机工程的辅机进行市场调研，对潜在供应商进行分析，提出建议名单。</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2配合业主单位对招标控制价、分标方案审查，确定招标形式。</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3参与编制及评审招标文件：协助业主确定标段招标范围，评审招标文件商务部分及技术规范书，设置科学合理的商务评分细则、技术评分细则等。</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4草拟合同，包括合同中的通用条款和专用条款、技术协议书、维保协议等。</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5根据业主需要，参与合同谈判工作。</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第六条  计划安排</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6.1 甲方提供服务的地点：</w:t>
      </w:r>
      <w:r>
        <w:rPr>
          <w:rFonts w:hint="eastAsia" w:ascii="仿宋_GB2312" w:hAnsi="仿宋_GB2312" w:eastAsia="仿宋_GB2312" w:cs="仿宋_GB2312"/>
          <w:sz w:val="32"/>
          <w:szCs w:val="32"/>
          <w:u w:val="single"/>
        </w:rPr>
        <w:t>成都市</w:t>
      </w:r>
      <w:r>
        <w:rPr>
          <w:rFonts w:hint="eastAsia" w:ascii="仿宋_GB2312" w:hAnsi="仿宋_GB2312" w:eastAsia="仿宋_GB2312" w:cs="仿宋_GB2312"/>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 服务期限：</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签订合同后至</w:t>
      </w:r>
      <w:r>
        <w:rPr>
          <w:rFonts w:hint="eastAsia" w:ascii="仿宋_GB2312" w:hAnsi="仿宋_GB2312" w:eastAsia="仿宋_GB2312" w:cs="仿宋_GB2312"/>
          <w:sz w:val="32"/>
          <w:szCs w:val="32"/>
          <w:u w:val="single"/>
        </w:rPr>
        <w:t>辅机设备招标完成</w:t>
      </w:r>
      <w:r>
        <w:rPr>
          <w:rFonts w:hint="eastAsia" w:ascii="仿宋_GB2312" w:hAnsi="仿宋_GB2312" w:eastAsia="仿宋_GB2312" w:cs="仿宋_GB2312"/>
          <w:sz w:val="32"/>
          <w:szCs w:val="32"/>
        </w:rPr>
        <w:t>，乙方完成咨询服务并提交</w:t>
      </w:r>
      <w:r>
        <w:rPr>
          <w:rFonts w:hint="eastAsia" w:ascii="仿宋_GB2312" w:hAnsi="仿宋_GB2312" w:eastAsia="仿宋_GB2312" w:cs="仿宋_GB2312"/>
          <w:sz w:val="32"/>
          <w:szCs w:val="32"/>
          <w:u w:val="single"/>
        </w:rPr>
        <w:t>分标方案的审查建议、辅机供应商调研报告、辅机招标控制价的审查建议、辅机招标文件、辅机技术规范书的审查建议。</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w:t>
      </w:r>
      <w:r>
        <w:rPr>
          <w:rFonts w:hint="eastAsia" w:eastAsia="黑体"/>
          <w:sz w:val="32"/>
          <w:szCs w:val="32"/>
        </w:rPr>
        <w:t>七</w:t>
      </w:r>
      <w:r>
        <w:rPr>
          <w:rFonts w:eastAsia="黑体"/>
          <w:sz w:val="32"/>
          <w:szCs w:val="32"/>
        </w:rPr>
        <w:t xml:space="preserve">条  </w:t>
      </w:r>
      <w:r>
        <w:rPr>
          <w:rFonts w:hint="eastAsia" w:eastAsia="黑体"/>
          <w:sz w:val="32"/>
          <w:szCs w:val="32"/>
        </w:rPr>
        <w:t>权利和义务</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 甲方向乙方提供开展评审工作所需的有关基础资料，并对提供的时间、进度和资料的可靠性负责；</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 甲方不得提出和国家或行业标准、规定相抵触的要求；</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 甲方需保护乙方的技术版权，未经乙方同意，甲方对乙方交付的文件不得复制或用于合同外的项目；</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 乙方应根据国家或行业有关标准规定进行评审，严格掌握规费及标准，控制工程造价；</w:t>
      </w:r>
    </w:p>
    <w:p>
      <w:pPr>
        <w:pStyle w:val="7"/>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 乙方应按照本合同第五条、第六条规定，向甲方交付调研报告及相关文件，对委托范围内工作的完整性和准确定负责；</w:t>
      </w:r>
    </w:p>
    <w:p>
      <w:pPr>
        <w:pStyle w:val="7"/>
      </w:pPr>
      <w:r>
        <w:rPr>
          <w:rFonts w:hint="eastAsia" w:ascii="仿宋_GB2312" w:hAnsi="仿宋_GB2312" w:eastAsia="仿宋_GB2312" w:cs="仿宋_GB2312"/>
          <w:sz w:val="32"/>
          <w:szCs w:val="32"/>
        </w:rPr>
        <w:t xml:space="preserve">    7.6 乙方未经甲方同意不得向第三方扩散、转让甲方提交的技术资料。</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w:t>
      </w:r>
      <w:r>
        <w:rPr>
          <w:rFonts w:hint="eastAsia" w:eastAsia="黑体"/>
          <w:sz w:val="32"/>
          <w:szCs w:val="32"/>
        </w:rPr>
        <w:t>八</w:t>
      </w:r>
      <w:r>
        <w:rPr>
          <w:rFonts w:eastAsia="黑体"/>
          <w:sz w:val="32"/>
          <w:szCs w:val="32"/>
        </w:rPr>
        <w:t>条  费用及支付方式</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 合同价格：本合同价为含税固定总价，合同价格为人民币（大写）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元）（含税）。其中，不含税价格人民币（大写）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元），增值税税率 %，增值税税额￥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元，若国家出台新的税收政策。</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 支付方式</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乙方协助甲方完成辅机设备技术协议书签订后，甲方以对公转账形式一次性支付全部服务费到乙方以下指定账号。甲方付款前乙方须提供合同价款等额增值税专用发票。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乙方指定的以下银行账户：</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公司名称：</w:t>
      </w:r>
      <w:r>
        <w:rPr>
          <w:rFonts w:hint="eastAsia" w:ascii="仿宋_GB2312" w:hAnsi="仿宋_GB2312" w:eastAsia="仿宋_GB2312" w:cs="仿宋_GB2312"/>
          <w:sz w:val="32"/>
          <w:szCs w:val="32"/>
          <w:u w:val="single"/>
        </w:rPr>
        <w:t xml:space="preserve">                             </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 户 行：</w:t>
      </w:r>
      <w:r>
        <w:rPr>
          <w:rFonts w:hint="eastAsia" w:ascii="仿宋_GB2312" w:hAnsi="仿宋_GB2312" w:eastAsia="仿宋_GB2312" w:cs="仿宋_GB2312"/>
          <w:sz w:val="32"/>
          <w:szCs w:val="32"/>
          <w:u w:val="single"/>
        </w:rPr>
        <w:t xml:space="preserve">                              </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甲方开票信息为：</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公司名称：</w:t>
      </w:r>
      <w:r>
        <w:rPr>
          <w:rFonts w:hint="eastAsia" w:ascii="仿宋_GB2312" w:hAnsi="仿宋_GB2312" w:eastAsia="仿宋_GB2312" w:cs="仿宋_GB2312"/>
          <w:sz w:val="32"/>
          <w:szCs w:val="32"/>
          <w:u w:val="single"/>
        </w:rPr>
        <w:t>四川能投广元燃气发电有限公司</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税    号：</w:t>
      </w:r>
      <w:r>
        <w:rPr>
          <w:rFonts w:hint="eastAsia" w:ascii="仿宋_GB2312" w:hAnsi="仿宋_GB2312" w:eastAsia="仿宋_GB2312" w:cs="仿宋_GB2312"/>
          <w:sz w:val="32"/>
          <w:szCs w:val="32"/>
          <w:u w:val="single"/>
        </w:rPr>
        <w:t xml:space="preserve">91510800MA6BHHM58T          </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公司地址：</w:t>
      </w:r>
      <w:r>
        <w:rPr>
          <w:rFonts w:hint="eastAsia" w:ascii="仿宋_GB2312" w:hAnsi="仿宋_GB2312" w:eastAsia="仿宋_GB2312" w:cs="仿宋_GB2312"/>
          <w:sz w:val="32"/>
          <w:szCs w:val="32"/>
          <w:u w:val="single"/>
        </w:rPr>
        <w:t>广元经济技术开发区石盘工业园</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 户 行：</w:t>
      </w:r>
      <w:r>
        <w:rPr>
          <w:rFonts w:hint="eastAsia" w:ascii="仿宋_GB2312" w:hAnsi="仿宋_GB2312" w:eastAsia="仿宋_GB2312" w:cs="仿宋_GB2312"/>
          <w:sz w:val="32"/>
          <w:szCs w:val="32"/>
          <w:u w:val="single"/>
        </w:rPr>
        <w:t xml:space="preserve"> 中国工商银行广元开发区支行 </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 2309442309100039452        </w:t>
      </w:r>
    </w:p>
    <w:p>
      <w:pPr>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u w:val="single"/>
        </w:rPr>
        <w:t>028-</w:t>
      </w:r>
      <w:r>
        <w:rPr>
          <w:rFonts w:hint="eastAsia" w:ascii="仿宋_GB2312" w:hAnsi="仿宋_GB2312" w:eastAsia="仿宋_GB2312" w:cs="仿宋_GB2312"/>
          <w:sz w:val="32"/>
          <w:szCs w:val="32"/>
          <w:u w:val="single"/>
        </w:rPr>
        <w:t xml:space="preserve">81299988               </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w:t>
      </w:r>
      <w:r>
        <w:rPr>
          <w:rFonts w:hint="eastAsia" w:eastAsia="黑体"/>
          <w:sz w:val="32"/>
          <w:szCs w:val="32"/>
        </w:rPr>
        <w:t>九</w:t>
      </w:r>
      <w:r>
        <w:rPr>
          <w:rFonts w:eastAsia="黑体"/>
          <w:sz w:val="32"/>
          <w:szCs w:val="32"/>
        </w:rPr>
        <w:t>条  违约责任</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  任何签约方违反本合同第</w:t>
      </w:r>
      <w:r>
        <w:rPr>
          <w:rFonts w:hint="eastAsia" w:ascii="仿宋_GB2312" w:hAnsi="仿宋_GB2312" w:eastAsia="仿宋_GB2312" w:cs="仿宋_GB2312"/>
          <w:sz w:val="32"/>
          <w:szCs w:val="32"/>
          <w:u w:val="single"/>
        </w:rPr>
        <w:t xml:space="preserve"> 五 </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u w:val="single"/>
        </w:rPr>
        <w:t xml:space="preserve"> 六 </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u w:val="single"/>
        </w:rPr>
        <w:t xml:space="preserve"> 七 </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u w:val="single"/>
        </w:rPr>
        <w:t xml:space="preserve"> 八 </w:t>
      </w:r>
      <w:r>
        <w:rPr>
          <w:rFonts w:hint="eastAsia" w:ascii="仿宋_GB2312" w:hAnsi="仿宋_GB2312" w:eastAsia="仿宋_GB2312" w:cs="仿宋_GB2312"/>
          <w:sz w:val="32"/>
          <w:szCs w:val="32"/>
        </w:rPr>
        <w:t>条中的任何一条，按以下第</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种方式承担违约责任：</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（1）违约方支付</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元违约金；</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（2）按合同总标的</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%支付违约金；</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  甲方如未能按照本合同第七条及时履行义务，造成乙方工期拖延，甲方应在和乙方协商后将工期时间增加到第六条规定的工期期限上。</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  因乙方原因造成工期延误或成果质量不符合要求，应承担违约责任。</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  违约方确定承担责任后，签约方约定本合同内容：</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（1）继续履行            □</w:t>
      </w:r>
    </w:p>
    <w:p>
      <w:pPr>
        <w:tabs>
          <w:tab w:val="left" w:pos="3945"/>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（2）不再履行            □</w:t>
      </w:r>
      <w:r>
        <w:rPr>
          <w:rFonts w:hint="eastAsia" w:ascii="仿宋_GB2312" w:hAnsi="仿宋_GB2312" w:eastAsia="仿宋_GB2312" w:cs="仿宋_GB2312"/>
          <w:sz w:val="32"/>
          <w:szCs w:val="32"/>
        </w:rPr>
        <w:tab/>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（3）是否履行再行协商    </w:t>
      </w:r>
      <w:r>
        <w:rPr>
          <w:rFonts w:hint="eastAsia" w:ascii="仿宋_GB2312" w:hAnsi="仿宋_GB2312" w:eastAsia="仿宋_GB2312" w:cs="仿宋_GB2312"/>
          <w:sz w:val="32"/>
          <w:szCs w:val="32"/>
        </w:rPr>
        <w:sym w:font="Wingdings 2" w:char="F052"/>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第十条  合同的变更</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签约方确认，在履行合同过程中对于具体内容需要变更的，由签约各方另行协商并书面约定，作为本合同的变更文本。</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第十</w:t>
      </w:r>
      <w:r>
        <w:rPr>
          <w:rFonts w:hint="eastAsia" w:eastAsia="黑体"/>
          <w:sz w:val="32"/>
          <w:szCs w:val="32"/>
        </w:rPr>
        <w:t>一</w:t>
      </w:r>
      <w:r>
        <w:rPr>
          <w:rFonts w:eastAsia="黑体"/>
          <w:sz w:val="32"/>
          <w:szCs w:val="32"/>
        </w:rPr>
        <w:t>条  合同的解除</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  在合同履行过程中，发生以下情形之一的，签约方可在</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日内通知对方解除合同：</w:t>
      </w:r>
    </w:p>
    <w:p>
      <w:pPr>
        <w:numPr>
          <w:ilvl w:val="0"/>
          <w:numId w:val="2"/>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因对方违约使合同不能继续履行或没有必要继续履行；</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（2）其他约定情形。</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其他不可抗拒因素造成合同不能继续履行，双方协商解决。</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  合同解除后，对于已履行部分给签约方造成的实际损失，双方共同协商解决。</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第十</w:t>
      </w:r>
      <w:r>
        <w:rPr>
          <w:rFonts w:hint="eastAsia" w:eastAsia="黑体"/>
          <w:sz w:val="32"/>
          <w:szCs w:val="32"/>
        </w:rPr>
        <w:t>二</w:t>
      </w:r>
      <w:r>
        <w:rPr>
          <w:rFonts w:eastAsia="黑体"/>
          <w:sz w:val="32"/>
          <w:szCs w:val="32"/>
        </w:rPr>
        <w:t>条  争议解决方式</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  签约各方因履行合同发生争议，应协商解决；</w:t>
      </w:r>
    </w:p>
    <w:p>
      <w:pPr>
        <w:snapToGrid w:val="0"/>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 xml:space="preserve">12.2  </w:t>
      </w:r>
      <w:r>
        <w:rPr>
          <w:rFonts w:hint="eastAsia" w:ascii="仿宋_GB2312" w:hAnsi="仿宋_GB2312" w:eastAsia="仿宋_GB2312" w:cs="仿宋_GB2312"/>
          <w:spacing w:val="-8"/>
          <w:sz w:val="32"/>
          <w:szCs w:val="32"/>
        </w:rPr>
        <w:t>协商解决不成，签约方</w:t>
      </w:r>
      <w:r>
        <w:rPr>
          <w:rFonts w:hint="eastAsia" w:ascii="仿宋_GB2312" w:hAnsi="仿宋_GB2312" w:eastAsia="仿宋_GB2312" w:cs="仿宋_GB2312"/>
          <w:sz w:val="32"/>
          <w:szCs w:val="32"/>
        </w:rPr>
        <w:t>同意采用以下</w:t>
      </w:r>
      <w:r>
        <w:rPr>
          <w:rFonts w:hint="eastAsia" w:ascii="仿宋_GB2312" w:hAnsi="仿宋_GB2312" w:eastAsia="仿宋_GB2312" w:cs="仿宋_GB2312"/>
          <w:spacing w:val="-8"/>
          <w:sz w:val="32"/>
          <w:szCs w:val="32"/>
        </w:rPr>
        <w:t>第</w:t>
      </w:r>
      <w:r>
        <w:rPr>
          <w:rFonts w:hint="eastAsia" w:ascii="仿宋_GB2312" w:hAnsi="仿宋_GB2312" w:eastAsia="仿宋_GB2312" w:cs="仿宋_GB2312"/>
          <w:spacing w:val="-8"/>
          <w:sz w:val="32"/>
          <w:szCs w:val="32"/>
          <w:u w:val="single"/>
        </w:rPr>
        <w:t xml:space="preserve"> (2) </w:t>
      </w:r>
      <w:r>
        <w:rPr>
          <w:rFonts w:hint="eastAsia" w:ascii="仿宋_GB2312" w:hAnsi="仿宋_GB2312" w:eastAsia="仿宋_GB2312" w:cs="仿宋_GB2312"/>
          <w:spacing w:val="-8"/>
          <w:sz w:val="32"/>
          <w:szCs w:val="32"/>
        </w:rPr>
        <w:t>种方式解决纠纷：</w:t>
      </w:r>
    </w:p>
    <w:p>
      <w:pPr>
        <w:numPr>
          <w:ilvl w:val="0"/>
          <w:numId w:val="3"/>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申请由</w:t>
      </w:r>
      <w:r>
        <w:rPr>
          <w:rFonts w:hint="eastAsia" w:ascii="仿宋_GB2312" w:hAnsi="仿宋_GB2312" w:eastAsia="仿宋_GB2312" w:cs="仿宋_GB2312"/>
          <w:sz w:val="32"/>
          <w:szCs w:val="32"/>
          <w:u w:val="single"/>
        </w:rPr>
        <w:t xml:space="preserve">  项目实施地  </w:t>
      </w:r>
      <w:r>
        <w:rPr>
          <w:rFonts w:hint="eastAsia" w:ascii="仿宋_GB2312" w:hAnsi="仿宋_GB2312" w:eastAsia="仿宋_GB2312" w:cs="仿宋_GB2312"/>
          <w:sz w:val="32"/>
          <w:szCs w:val="32"/>
        </w:rPr>
        <w:t>仲裁委员会仲裁；</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（2）向有管辖权的人民法院起诉。</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第十</w:t>
      </w:r>
      <w:r>
        <w:rPr>
          <w:rFonts w:hint="eastAsia" w:eastAsia="黑体"/>
          <w:sz w:val="32"/>
          <w:szCs w:val="32"/>
        </w:rPr>
        <w:t>三</w:t>
      </w:r>
      <w:r>
        <w:rPr>
          <w:rFonts w:eastAsia="黑体"/>
          <w:sz w:val="32"/>
          <w:szCs w:val="32"/>
        </w:rPr>
        <w:t>条  补充约定</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 本合同未尽事宜，双方可签订补充合同作为附件，补充合同与合同具有同等法律效力。</w:t>
      </w:r>
    </w:p>
    <w:p>
      <w:pPr>
        <w:snapToGrid w:val="0"/>
        <w:spacing w:line="560" w:lineRule="exact"/>
        <w:ind w:firstLine="640" w:firstLineChars="200"/>
        <w:rPr>
          <w:sz w:val="32"/>
          <w:szCs w:val="32"/>
        </w:rPr>
      </w:pPr>
      <w:r>
        <w:rPr>
          <w:rFonts w:hint="eastAsia" w:ascii="仿宋_GB2312" w:hAnsi="仿宋_GB2312" w:eastAsia="仿宋_GB2312" w:cs="仿宋_GB2312"/>
          <w:sz w:val="32"/>
          <w:szCs w:val="32"/>
        </w:rPr>
        <w:t>13.2 本合同经双方代表签字盖章后生效，双方职责履行结束后自动失效。</w:t>
      </w:r>
    </w:p>
    <w:p>
      <w:pPr>
        <w:snapToGrid w:val="0"/>
        <w:spacing w:beforeLines="50" w:afterLines="50" w:line="560" w:lineRule="exact"/>
        <w:ind w:firstLine="640" w:firstLineChars="200"/>
        <w:outlineLvl w:val="3"/>
        <w:rPr>
          <w:rFonts w:eastAsia="黑体"/>
          <w:sz w:val="32"/>
          <w:szCs w:val="32"/>
        </w:rPr>
      </w:pPr>
      <w:r>
        <w:rPr>
          <w:rFonts w:eastAsia="黑体"/>
          <w:sz w:val="32"/>
          <w:szCs w:val="32"/>
        </w:rPr>
        <w:t>第十</w:t>
      </w:r>
      <w:r>
        <w:rPr>
          <w:rFonts w:hint="eastAsia" w:eastAsia="黑体"/>
          <w:sz w:val="32"/>
          <w:szCs w:val="32"/>
        </w:rPr>
        <w:t>四</w:t>
      </w:r>
      <w:r>
        <w:rPr>
          <w:rFonts w:eastAsia="黑体"/>
          <w:sz w:val="32"/>
          <w:szCs w:val="32"/>
        </w:rPr>
        <w:t xml:space="preserve">条  </w:t>
      </w:r>
      <w:r>
        <w:rPr>
          <w:rFonts w:hint="eastAsia" w:eastAsia="黑体"/>
          <w:sz w:val="32"/>
          <w:szCs w:val="32"/>
        </w:rPr>
        <w:t>合同份数</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本合同一式</w:t>
      </w:r>
      <w:r>
        <w:rPr>
          <w:rFonts w:hint="eastAsia" w:ascii="仿宋_GB2312" w:hAnsi="仿宋_GB2312" w:eastAsia="仿宋_GB2312" w:cs="仿宋_GB2312"/>
          <w:sz w:val="32"/>
          <w:szCs w:val="32"/>
          <w:u w:val="single"/>
        </w:rPr>
        <w:t xml:space="preserve"> 陆 </w:t>
      </w:r>
      <w:r>
        <w:rPr>
          <w:rFonts w:hint="eastAsia" w:ascii="仿宋_GB2312" w:hAnsi="仿宋_GB2312" w:eastAsia="仿宋_GB2312" w:cs="仿宋_GB2312"/>
          <w:sz w:val="32"/>
          <w:szCs w:val="32"/>
        </w:rPr>
        <w:t>份，其中正本贰份，双方各执壹份，副本肆份，甲方叁份，乙方壹份，正本、副本内容若有不同，以正本内容为准，正副本具有同等法律效力。</w: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甲方代表（签字）：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乙方代表（签字）：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pPr>
        <w:adjustRightInd w:val="0"/>
        <w:snapToGrid w:val="0"/>
        <w:spacing w:line="360" w:lineRule="auto"/>
        <w:jc w:val="left"/>
        <w:rPr>
          <w:rFonts w:ascii="仿宋_GB2312" w:hAnsi="仿宋_GB2312" w:eastAsia="仿宋_GB2312" w:cs="仿宋_GB2312"/>
          <w:sz w:val="32"/>
          <w:szCs w:val="32"/>
        </w:rPr>
      </w:pPr>
    </w:p>
    <w:p>
      <w:pPr>
        <w:adjustRightInd w:val="0"/>
        <w:snapToGrid w:val="0"/>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单位（盖章）：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ab/>
      </w:r>
    </w:p>
    <w:p>
      <w:pPr>
        <w:spacing w:after="120"/>
        <w:rPr>
          <w:rFonts w:ascii="仿宋_GB2312" w:hAnsi="仿宋_GB2312" w:eastAsia="仿宋_GB2312" w:cs="仿宋_GB2312"/>
          <w:szCs w:val="24"/>
        </w:rPr>
      </w:pPr>
    </w:p>
    <w:p>
      <w:pPr>
        <w:spacing w:line="576" w:lineRule="exact"/>
        <w:ind w:firstLine="640" w:firstLineChars="200"/>
        <w:contextualSpacing/>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p>
    <w:p/>
    <w:p>
      <w:pPr>
        <w:pStyle w:val="6"/>
        <w:ind w:firstLine="720"/>
        <w:rPr>
          <w:rFonts w:ascii="方正小标宋简体" w:eastAsia="方正小标宋简体"/>
          <w:bCs/>
          <w:color w:val="000000"/>
          <w:kern w:val="0"/>
          <w:sz w:val="36"/>
          <w:szCs w:val="36"/>
        </w:rPr>
      </w:pPr>
    </w:p>
    <w:p>
      <w:pPr>
        <w:widowControl/>
        <w:spacing w:line="360" w:lineRule="auto"/>
        <w:jc w:val="center"/>
        <w:rPr>
          <w:rFonts w:ascii="方正小标宋简体" w:hAnsi="方正小标宋简体" w:eastAsia="方正小标宋简体" w:cs="方正小标宋简体"/>
          <w:kern w:val="44"/>
          <w:sz w:val="32"/>
          <w:szCs w:val="32"/>
        </w:rPr>
        <w:sectPr>
          <w:pgSz w:w="11906" w:h="16838"/>
          <w:pgMar w:top="1440" w:right="1800" w:bottom="1440" w:left="1800" w:header="851" w:footer="992" w:gutter="0"/>
          <w:cols w:space="425" w:num="1"/>
          <w:docGrid w:type="lines" w:linePitch="312" w:charSpace="0"/>
        </w:sectPr>
      </w:pPr>
    </w:p>
    <w:p>
      <w:pPr>
        <w:widowControl/>
        <w:spacing w:line="360" w:lineRule="auto"/>
        <w:jc w:val="center"/>
        <w:outlineLvl w:val="0"/>
        <w:rPr>
          <w:rFonts w:ascii="方正小标宋简体" w:hAnsi="方正小标宋简体" w:eastAsia="方正小标宋简体" w:cs="方正小标宋简体"/>
          <w:kern w:val="44"/>
          <w:sz w:val="32"/>
          <w:szCs w:val="32"/>
        </w:rPr>
      </w:pPr>
      <w:bookmarkStart w:id="94" w:name="_Toc116568324"/>
      <w:r>
        <w:rPr>
          <w:rFonts w:hint="eastAsia" w:ascii="方正小标宋简体" w:hAnsi="方正小标宋简体" w:eastAsia="方正小标宋简体" w:cs="方正小标宋简体"/>
          <w:kern w:val="44"/>
          <w:sz w:val="32"/>
          <w:szCs w:val="32"/>
        </w:rPr>
        <w:t>第五章  响应文件格式</w:t>
      </w:r>
      <w:bookmarkEnd w:id="91"/>
      <w:bookmarkEnd w:id="94"/>
      <w:bookmarkStart w:id="95" w:name="_Toc217446082"/>
    </w:p>
    <w:p>
      <w:pPr>
        <w:spacing w:line="360" w:lineRule="auto"/>
        <w:jc w:val="right"/>
        <w:rPr>
          <w:rFonts w:ascii="宋体" w:hAnsi="宋体"/>
          <w:sz w:val="32"/>
          <w:szCs w:val="32"/>
        </w:rPr>
      </w:pPr>
      <w:bookmarkStart w:id="96" w:name="_Toc325464857"/>
      <w:bookmarkStart w:id="97" w:name="_Toc31750942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谈</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判</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响</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应</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文</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ascii="宋体" w:hAnsi="宋体"/>
          <w:sz w:val="52"/>
          <w:szCs w:val="52"/>
        </w:rPr>
      </w:pPr>
      <w:r>
        <w:rPr>
          <w:rFonts w:hint="eastAsia" w:asciiTheme="minorEastAsia" w:hAnsiTheme="minorEastAsia" w:eastAsiaTheme="minorEastAsia" w:cstheme="minorEastAsia"/>
          <w:sz w:val="52"/>
          <w:szCs w:val="52"/>
        </w:rPr>
        <w:t>件</w:t>
      </w:r>
    </w:p>
    <w:p>
      <w:pPr>
        <w:spacing w:line="360" w:lineRule="auto"/>
        <w:rPr>
          <w:rFonts w:ascii="宋体" w:hAnsi="宋体"/>
          <w:sz w:val="32"/>
          <w:szCs w:val="32"/>
        </w:rPr>
      </w:pPr>
    </w:p>
    <w:p>
      <w:pPr>
        <w:spacing w:line="360" w:lineRule="auto"/>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outlineLvl w:val="9"/>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响应人：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widowControl/>
        <w:spacing w:line="360" w:lineRule="auto"/>
        <w:jc w:val="left"/>
        <w:rPr>
          <w:rFonts w:ascii="宋体" w:hAnsi="宋体"/>
          <w:kern w:val="0"/>
          <w:sz w:val="28"/>
        </w:rPr>
      </w:pPr>
      <w:bookmarkStart w:id="98" w:name="_Toc366754332"/>
      <w:bookmarkStart w:id="99" w:name="_Toc28527"/>
      <w:bookmarkStart w:id="100" w:name="_Toc363746230"/>
    </w:p>
    <w:p>
      <w:pPr>
        <w:pStyle w:val="11"/>
      </w:pPr>
    </w:p>
    <w:p>
      <w:pPr>
        <w:pStyle w:val="11"/>
      </w:pPr>
    </w:p>
    <w:p>
      <w:pPr>
        <w:pStyle w:val="25"/>
        <w:keepNext/>
        <w:keepLines/>
        <w:pageBreakBefore w:val="0"/>
        <w:widowControl w:val="0"/>
        <w:kinsoku/>
        <w:wordWrap/>
        <w:overflowPunct/>
        <w:topLinePunct w:val="0"/>
        <w:autoSpaceDE/>
        <w:autoSpaceDN/>
        <w:bidi w:val="0"/>
        <w:adjustRightInd/>
        <w:snapToGrid/>
        <w:jc w:val="center"/>
        <w:textAlignment w:val="auto"/>
        <w:outlineLvl w:val="9"/>
        <w:rPr>
          <w:rFonts w:ascii="宋体" w:hAnsi="宋体" w:eastAsia="宋体"/>
          <w:b/>
          <w:sz w:val="32"/>
          <w:szCs w:val="32"/>
        </w:rPr>
      </w:pPr>
      <w:r>
        <w:rPr>
          <w:rFonts w:hint="eastAsia" w:ascii="宋体" w:hAnsi="宋体" w:eastAsia="宋体"/>
          <w:b/>
          <w:sz w:val="32"/>
          <w:szCs w:val="32"/>
        </w:rPr>
        <w:t>目    录</w:t>
      </w:r>
      <w:bookmarkEnd w:id="98"/>
      <w:bookmarkEnd w:id="99"/>
      <w:bookmarkEnd w:id="100"/>
    </w:p>
    <w:p>
      <w:pPr>
        <w:spacing w:line="540" w:lineRule="exact"/>
        <w:rPr>
          <w:rFonts w:ascii="宋体" w:hAnsi="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一、谈判响应函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二、法定代表人证明书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三、法定代表人授权委托书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四、报价一览表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五、响应人基本情况表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六、同类项目业绩一览表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七、拟派主要人员情况表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八、承诺书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九、信誉证明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十、其他资料</w:t>
      </w:r>
    </w:p>
    <w:p>
      <w:pPr>
        <w:spacing w:line="360" w:lineRule="auto"/>
        <w:rPr>
          <w:rFonts w:ascii="宋体" w:hAnsi="宋体"/>
          <w:sz w:val="24"/>
          <w:szCs w:val="24"/>
        </w:rPr>
      </w:pPr>
    </w:p>
    <w:p>
      <w:pPr>
        <w:pStyle w:val="6"/>
        <w:rPr>
          <w:sz w:val="28"/>
        </w:rPr>
      </w:pPr>
      <w:r>
        <w:br w:type="page"/>
      </w:r>
    </w:p>
    <w:p>
      <w:pPr>
        <w:pStyle w:val="4"/>
        <w:spacing w:before="20" w:after="140" w:line="600" w:lineRule="exact"/>
        <w:jc w:val="center"/>
        <w:outlineLvl w:val="0"/>
        <w:rPr>
          <w:rFonts w:ascii="黑体" w:hAnsi="黑体" w:eastAsia="黑体" w:cs="黑体"/>
          <w:b w:val="0"/>
          <w:bCs w:val="0"/>
          <w:szCs w:val="28"/>
        </w:rPr>
      </w:pPr>
      <w:bookmarkStart w:id="101" w:name="_Toc116568325"/>
      <w:r>
        <w:rPr>
          <w:rFonts w:hint="eastAsia" w:ascii="黑体" w:hAnsi="黑体" w:eastAsia="黑体" w:cs="黑体"/>
          <w:b w:val="0"/>
          <w:bCs w:val="0"/>
          <w:szCs w:val="28"/>
        </w:rPr>
        <w:t>一、谈判响应函</w:t>
      </w:r>
      <w:bookmarkEnd w:id="95"/>
      <w:bookmarkEnd w:id="96"/>
      <w:bookmarkEnd w:id="97"/>
      <w:bookmarkEnd w:id="101"/>
    </w:p>
    <w:p>
      <w:pPr>
        <w:pStyle w:val="11"/>
        <w:spacing w:line="400" w:lineRule="exac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(采购人名称)：</w:t>
      </w:r>
    </w:p>
    <w:p>
      <w:pPr>
        <w:pStyle w:val="11"/>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一、我方全面研究了 </w:t>
      </w:r>
      <w:r>
        <w:rPr>
          <w:rFonts w:hint="eastAsia" w:ascii="仿宋_GB2312" w:hAnsi="仿宋_GB2312" w:eastAsia="仿宋_GB2312" w:cs="仿宋_GB2312"/>
          <w:sz w:val="24"/>
          <w:u w:val="single"/>
        </w:rPr>
        <w:t xml:space="preserve">             （项目名称） </w:t>
      </w:r>
      <w:r>
        <w:rPr>
          <w:rFonts w:hint="eastAsia" w:ascii="仿宋_GB2312" w:hAnsi="仿宋_GB2312" w:eastAsia="仿宋_GB2312" w:cs="仿宋_GB2312"/>
          <w:sz w:val="24"/>
        </w:rPr>
        <w:t>项目竞争性谈判文件，决定参加采购人组织的本项目谈判。我方授权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(姓名、职务)代表我方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(响应人名称)全权处理本项目谈判的有关事宜。</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二、我方自愿按照竞争性谈判文件规定的各项要求完成本项目全部工作，报价为人民币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三、一旦我方成交，我方将严格履行合同规定的责任和义务，保证于合同签字生效后在</w:t>
      </w:r>
      <w:r>
        <w:rPr>
          <w:rFonts w:hint="eastAsia" w:ascii="仿宋_GB2312" w:hAnsi="仿宋_GB2312" w:eastAsia="仿宋_GB2312" w:cs="仿宋_GB2312"/>
          <w:b/>
          <w:sz w:val="24"/>
          <w:u w:val="single"/>
        </w:rPr>
        <w:t>采购人要求的时间内</w:t>
      </w:r>
      <w:r>
        <w:rPr>
          <w:rFonts w:hint="eastAsia" w:ascii="仿宋_GB2312" w:hAnsi="仿宋_GB2312" w:eastAsia="仿宋_GB2312" w:cs="仿宋_GB2312"/>
          <w:sz w:val="24"/>
        </w:rPr>
        <w:t>完成本项目全部工作。</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四、我方为本项目提交的响应文件正本1份，副本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份，电子文档1份。</w:t>
      </w:r>
    </w:p>
    <w:p>
      <w:pPr>
        <w:pStyle w:val="11"/>
        <w:spacing w:line="40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五、我方承诺，谈判有效期为谈判截止时间后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个日历天内。</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六、我方愿意提供采购人可能另外要求的，与谈判有关的文件资料，并保证我方已提供和将要提供的文件资料是真实、准确的。</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七、我方知道并同意：如果接到成交通知书后未按采购人要求的时间签订正式合同或坚持提出附加条件，采购人有权选择其他响应人为成交人。</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八、我方知道并同意，采购人并无义务必须接受所收到的价格最低的或其他任何响应文件。同时也理解，采购人不负担响应人任何参与谈判的费用。</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九、我方郑重承诺：按采购人要求做好后期服务。</w:t>
      </w:r>
    </w:p>
    <w:p>
      <w:pPr>
        <w:pStyle w:val="11"/>
        <w:spacing w:line="400" w:lineRule="exact"/>
        <w:rPr>
          <w:rFonts w:ascii="仿宋_GB2312" w:hAnsi="仿宋_GB2312" w:eastAsia="仿宋_GB2312" w:cs="仿宋_GB2312"/>
          <w:sz w:val="24"/>
        </w:rPr>
      </w:pP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响应人名称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(盖章)</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邮政编码：</w:t>
      </w:r>
      <w:r>
        <w:rPr>
          <w:rFonts w:hint="eastAsia" w:ascii="仿宋_GB2312" w:hAnsi="仿宋_GB2312" w:eastAsia="仿宋_GB2312" w:cs="仿宋_GB2312"/>
          <w:sz w:val="24"/>
          <w:u w:val="single"/>
        </w:rPr>
        <w:t xml:space="preserve">                              </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pStyle w:val="11"/>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    真：</w:t>
      </w:r>
      <w:r>
        <w:rPr>
          <w:rFonts w:hint="eastAsia" w:ascii="仿宋_GB2312" w:hAnsi="仿宋_GB2312" w:eastAsia="仿宋_GB2312" w:cs="仿宋_GB2312"/>
          <w:sz w:val="24"/>
          <w:u w:val="single"/>
        </w:rPr>
        <w:t xml:space="preserve">                              </w:t>
      </w:r>
    </w:p>
    <w:p>
      <w:pPr>
        <w:pStyle w:val="11"/>
        <w:spacing w:line="400" w:lineRule="exact"/>
        <w:ind w:firstLine="480" w:firstLineChars="200"/>
        <w:rPr>
          <w:rFonts w:ascii="宋体" w:hAnsi="宋体" w:cs="宋体"/>
          <w:sz w:val="24"/>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ascii="宋体" w:hAnsi="宋体" w:cs="宋体"/>
          <w:sz w:val="24"/>
        </w:rPr>
        <w:br w:type="page"/>
      </w:r>
    </w:p>
    <w:p>
      <w:pPr>
        <w:pStyle w:val="4"/>
        <w:spacing w:before="20" w:after="140" w:line="600" w:lineRule="exact"/>
        <w:jc w:val="center"/>
        <w:outlineLvl w:val="0"/>
        <w:rPr>
          <w:rFonts w:ascii="黑体" w:hAnsi="黑体" w:eastAsia="黑体" w:cs="黑体"/>
          <w:b w:val="0"/>
          <w:bCs w:val="0"/>
          <w:szCs w:val="28"/>
        </w:rPr>
      </w:pPr>
      <w:bookmarkStart w:id="102" w:name="_Toc116568326"/>
      <w:bookmarkStart w:id="103" w:name="_Toc217446085"/>
      <w:bookmarkStart w:id="104" w:name="_Toc317509430"/>
      <w:bookmarkStart w:id="105" w:name="_Toc325464859"/>
      <w:r>
        <w:rPr>
          <w:rFonts w:hint="eastAsia" w:ascii="黑体" w:hAnsi="黑体" w:eastAsia="黑体" w:cs="黑体"/>
          <w:b w:val="0"/>
          <w:bCs w:val="0"/>
          <w:szCs w:val="28"/>
        </w:rPr>
        <w:t>二、法定代表人证明书</w:t>
      </w:r>
      <w:bookmarkEnd w:id="102"/>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sz w:val="24"/>
          <w:szCs w:val="24"/>
          <w:u w:val="single"/>
        </w:rPr>
        <w:t xml:space="preserve">                             </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响应人全称）</w:t>
      </w:r>
      <w:r>
        <w:rPr>
          <w:rFonts w:hint="eastAsia" w:ascii="仿宋_GB2312" w:hAnsi="仿宋_GB2312" w:eastAsia="仿宋_GB2312" w:cs="仿宋_GB2312"/>
          <w:sz w:val="24"/>
          <w:szCs w:val="24"/>
        </w:rPr>
        <w:t>的法定代表人。</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pPr>
        <w:spacing w:line="360" w:lineRule="auto"/>
        <w:jc w:val="left"/>
        <w:rPr>
          <w:rFonts w:ascii="仿宋_GB2312" w:hAnsi="仿宋_GB2312" w:eastAsia="仿宋_GB2312" w:cs="仿宋_GB2312"/>
          <w:sz w:val="24"/>
          <w:szCs w:val="24"/>
        </w:rPr>
      </w:pPr>
    </w:p>
    <w:p>
      <w:pPr>
        <w:spacing w:line="360" w:lineRule="auto"/>
        <w:jc w:val="left"/>
        <w:rPr>
          <w:rFonts w:ascii="仿宋_GB2312" w:hAnsi="仿宋_GB2312" w:eastAsia="仿宋_GB2312" w:cs="仿宋_GB2312"/>
          <w:sz w:val="24"/>
          <w:szCs w:val="24"/>
        </w:rPr>
      </w:pPr>
    </w:p>
    <w:p>
      <w:pPr>
        <w:spacing w:line="360" w:lineRule="auto"/>
        <w:ind w:firstLine="3360" w:firstLineChars="14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响应人：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pPr>
        <w:spacing w:line="360" w:lineRule="auto"/>
        <w:ind w:firstLine="3360" w:firstLineChars="1400"/>
        <w:jc w:val="left"/>
        <w:rPr>
          <w:rFonts w:ascii="仿宋_GB2312" w:hAnsi="仿宋_GB2312" w:eastAsia="仿宋_GB2312" w:cs="仿宋_GB2312"/>
          <w:sz w:val="28"/>
          <w:szCs w:val="28"/>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jc w:val="left"/>
        <w:rPr>
          <w:rFonts w:ascii="宋体" w:hAnsi="宋体"/>
          <w:sz w:val="18"/>
          <w:szCs w:val="18"/>
        </w:rPr>
      </w:pPr>
      <w:r>
        <w:rPr>
          <w:rFonts w:hint="eastAsia" w:ascii="仿宋_GB2312" w:hAnsi="仿宋_GB2312" w:eastAsia="仿宋_GB2312" w:cs="仿宋_GB2312"/>
          <w:sz w:val="18"/>
          <w:szCs w:val="18"/>
        </w:rPr>
        <w:t>注：附法定代表人的身份证复印件并加盖单位公章。</w:t>
      </w:r>
      <w:r>
        <w:rPr>
          <w:rFonts w:ascii="宋体" w:hAnsi="宋体"/>
          <w:sz w:val="18"/>
          <w:szCs w:val="18"/>
        </w:rPr>
        <w:br w:type="page"/>
      </w:r>
    </w:p>
    <w:p>
      <w:pPr>
        <w:pStyle w:val="4"/>
        <w:spacing w:before="20" w:after="140" w:line="600" w:lineRule="exact"/>
        <w:jc w:val="center"/>
        <w:outlineLvl w:val="0"/>
        <w:rPr>
          <w:rFonts w:ascii="黑体" w:hAnsi="黑体" w:eastAsia="黑体" w:cs="黑体"/>
          <w:b w:val="0"/>
          <w:bCs w:val="0"/>
          <w:szCs w:val="28"/>
        </w:rPr>
      </w:pPr>
      <w:bookmarkStart w:id="106" w:name="_Toc116568327"/>
      <w:r>
        <w:rPr>
          <w:rFonts w:hint="eastAsia" w:ascii="黑体" w:hAnsi="黑体" w:eastAsia="黑体" w:cs="黑体"/>
          <w:b w:val="0"/>
          <w:bCs w:val="0"/>
          <w:szCs w:val="28"/>
        </w:rPr>
        <w:t>三、法定代表人授权委托书</w:t>
      </w:r>
      <w:bookmarkEnd w:id="106"/>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（采购人名称）：   </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（姓名） </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（响应人全称）</w:t>
      </w:r>
      <w:r>
        <w:rPr>
          <w:rFonts w:hint="eastAsia" w:ascii="仿宋_GB2312" w:hAnsi="仿宋_GB2312" w:eastAsia="仿宋_GB2312" w:cs="仿宋_GB2312"/>
          <w:sz w:val="24"/>
          <w:szCs w:val="24"/>
        </w:rPr>
        <w:t>的法定代表人，现授权委托</w:t>
      </w:r>
      <w:r>
        <w:rPr>
          <w:rFonts w:hint="eastAsia" w:ascii="仿宋_GB2312" w:hAnsi="仿宋_GB2312" w:eastAsia="仿宋_GB2312" w:cs="仿宋_GB2312"/>
          <w:sz w:val="24"/>
          <w:szCs w:val="24"/>
          <w:u w:val="single"/>
        </w:rPr>
        <w:t xml:space="preserve">  （被委托人姓名、职务）</w:t>
      </w:r>
      <w:r>
        <w:rPr>
          <w:rFonts w:hint="eastAsia" w:ascii="仿宋_GB2312" w:hAnsi="仿宋_GB2312" w:eastAsia="仿宋_GB2312" w:cs="仿宋_GB2312"/>
          <w:sz w:val="24"/>
          <w:szCs w:val="24"/>
        </w:rPr>
        <w:t>为我公司代理人，以本公司的名义参加</w:t>
      </w:r>
      <w:r>
        <w:rPr>
          <w:rFonts w:hint="eastAsia" w:ascii="仿宋_GB2312" w:hAnsi="仿宋_GB2312" w:eastAsia="仿宋_GB2312" w:cs="仿宋_GB2312"/>
          <w:sz w:val="24"/>
          <w:szCs w:val="24"/>
          <w:u w:val="single"/>
        </w:rPr>
        <w:t xml:space="preserve">      （项目名称） </w:t>
      </w:r>
      <w:r>
        <w:rPr>
          <w:rFonts w:hint="eastAsia" w:ascii="仿宋_GB2312" w:hAnsi="仿宋_GB2312" w:eastAsia="仿宋_GB2312" w:cs="仿宋_GB2312"/>
          <w:sz w:val="24"/>
          <w:szCs w:val="24"/>
        </w:rPr>
        <w:t>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委托期限：自本授权委托书签署之日起至第二章“谈判须知”前附表12条规定的“谈判有效期”结束为止。</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代理人无转委托权，特此委托。</w:t>
      </w:r>
    </w:p>
    <w:p>
      <w:pPr>
        <w:spacing w:line="360" w:lineRule="auto"/>
        <w:jc w:val="left"/>
        <w:rPr>
          <w:rFonts w:ascii="仿宋_GB2312" w:hAnsi="仿宋_GB2312" w:eastAsia="仿宋_GB2312" w:cs="仿宋_GB2312"/>
          <w:sz w:val="24"/>
          <w:szCs w:val="24"/>
        </w:rPr>
      </w:pPr>
    </w:p>
    <w:p>
      <w:pPr>
        <w:spacing w:line="360" w:lineRule="auto"/>
        <w:ind w:firstLine="1440" w:firstLineChars="6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ind w:firstLine="1440" w:firstLineChars="6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身份证号码：</w:t>
      </w:r>
      <w:r>
        <w:rPr>
          <w:rFonts w:hint="eastAsia" w:ascii="仿宋_GB2312" w:hAnsi="仿宋_GB2312" w:eastAsia="仿宋_GB2312" w:cs="仿宋_GB2312"/>
          <w:sz w:val="24"/>
          <w:szCs w:val="24"/>
          <w:u w:val="single"/>
        </w:rPr>
        <w:t xml:space="preserve">                           </w:t>
      </w:r>
    </w:p>
    <w:p>
      <w:pPr>
        <w:spacing w:line="360" w:lineRule="auto"/>
        <w:ind w:firstLine="1440" w:firstLineChars="6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响应人：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pPr>
        <w:spacing w:line="360" w:lineRule="auto"/>
        <w:ind w:firstLine="1440" w:firstLineChars="6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spacing w:line="360" w:lineRule="auto"/>
        <w:ind w:firstLine="1440" w:firstLineChars="6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授权委托日期：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jc w:val="left"/>
        <w:rPr>
          <w:rFonts w:ascii="仿宋_GB2312" w:hAnsi="仿宋_GB2312" w:eastAsia="仿宋_GB2312" w:cs="仿宋_GB2312"/>
          <w:sz w:val="24"/>
          <w:szCs w:val="24"/>
        </w:rPr>
      </w:pPr>
    </w:p>
    <w:p>
      <w:pPr>
        <w:spacing w:line="360" w:lineRule="auto"/>
        <w:jc w:val="left"/>
        <w:rPr>
          <w:rFonts w:ascii="仿宋_GB2312" w:hAnsi="仿宋_GB2312" w:eastAsia="仿宋_GB2312" w:cs="仿宋_GB2312"/>
          <w:sz w:val="24"/>
          <w:szCs w:val="24"/>
        </w:rPr>
      </w:pPr>
    </w:p>
    <w:p>
      <w:pPr>
        <w:spacing w:line="360" w:lineRule="auto"/>
        <w:jc w:val="left"/>
        <w:rPr>
          <w:rFonts w:ascii="仿宋_GB2312" w:hAnsi="仿宋_GB2312" w:eastAsia="仿宋_GB2312" w:cs="仿宋_GB2312"/>
          <w:sz w:val="24"/>
          <w:szCs w:val="24"/>
        </w:rPr>
      </w:pPr>
    </w:p>
    <w:p>
      <w:pPr>
        <w:spacing w:line="360" w:lineRule="auto"/>
        <w:jc w:val="left"/>
        <w:rPr>
          <w:rFonts w:ascii="仿宋_GB2312" w:hAnsi="仿宋_GB2312" w:eastAsia="仿宋_GB2312" w:cs="仿宋_GB2312"/>
          <w:sz w:val="24"/>
          <w:szCs w:val="24"/>
        </w:rPr>
      </w:pPr>
    </w:p>
    <w:p>
      <w:pPr>
        <w:pStyle w:val="7"/>
        <w:rPr>
          <w:rFonts w:ascii="仿宋_GB2312" w:hAnsi="仿宋_GB2312" w:eastAsia="仿宋_GB2312" w:cs="仿宋_GB2312"/>
          <w:sz w:val="24"/>
        </w:rPr>
      </w:pPr>
    </w:p>
    <w:p>
      <w:pPr>
        <w:rPr>
          <w:rFonts w:ascii="仿宋_GB2312" w:hAnsi="仿宋_GB2312" w:eastAsia="仿宋_GB2312" w:cs="仿宋_GB2312"/>
          <w:sz w:val="24"/>
          <w:szCs w:val="24"/>
        </w:rPr>
      </w:pPr>
    </w:p>
    <w:p>
      <w:pPr>
        <w:pStyle w:val="7"/>
      </w:pPr>
    </w:p>
    <w:p>
      <w:pPr>
        <w:spacing w:line="360" w:lineRule="auto"/>
        <w:jc w:val="left"/>
        <w:rPr>
          <w:rFonts w:ascii="仿宋_GB2312" w:hAnsi="仿宋_GB2312" w:eastAsia="仿宋_GB2312" w:cs="仿宋_GB2312"/>
          <w:sz w:val="24"/>
          <w:szCs w:val="24"/>
        </w:rPr>
      </w:pPr>
    </w:p>
    <w:p>
      <w:pPr>
        <w:spacing w:line="360" w:lineRule="auto"/>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注：1、附法定代表人及委托代理人身份证复印件并加盖单位公章。</w:t>
      </w:r>
    </w:p>
    <w:p>
      <w:pPr>
        <w:spacing w:line="360" w:lineRule="auto"/>
        <w:ind w:firstLine="36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2、响应人的法定代表人直接参加竞争性谈判活动的，不提供本授权委托书。</w:t>
      </w:r>
    </w:p>
    <w:p>
      <w:pPr>
        <w:pStyle w:val="7"/>
      </w:pPr>
    </w:p>
    <w:p>
      <w:pPr>
        <w:pStyle w:val="11"/>
      </w:pPr>
    </w:p>
    <w:p>
      <w:pPr>
        <w:rPr>
          <w:rFonts w:ascii="黑体" w:hAnsi="黑体" w:eastAsia="黑体" w:cs="黑体"/>
          <w:szCs w:val="28"/>
        </w:rPr>
      </w:pPr>
      <w:r>
        <w:rPr>
          <w:rFonts w:hint="eastAsia" w:ascii="黑体" w:hAnsi="黑体" w:eastAsia="黑体" w:cs="黑体"/>
          <w:szCs w:val="28"/>
        </w:rPr>
        <w:br w:type="page"/>
      </w:r>
    </w:p>
    <w:p>
      <w:pPr>
        <w:pStyle w:val="4"/>
        <w:spacing w:line="360" w:lineRule="auto"/>
        <w:jc w:val="center"/>
        <w:outlineLvl w:val="0"/>
        <w:rPr>
          <w:rFonts w:ascii="宋体" w:hAnsi="宋体" w:cs="宋体"/>
          <w:b w:val="0"/>
        </w:rPr>
      </w:pPr>
      <w:bookmarkStart w:id="107" w:name="_Toc116568328"/>
      <w:r>
        <w:rPr>
          <w:rFonts w:hint="eastAsia" w:ascii="黑体" w:hAnsi="黑体" w:eastAsia="黑体" w:cs="黑体"/>
          <w:b w:val="0"/>
          <w:bCs w:val="0"/>
          <w:szCs w:val="28"/>
        </w:rPr>
        <w:t>四、</w:t>
      </w:r>
      <w:bookmarkEnd w:id="103"/>
      <w:r>
        <w:rPr>
          <w:rFonts w:hint="eastAsia" w:ascii="黑体" w:hAnsi="黑体" w:eastAsia="黑体" w:cs="黑体"/>
          <w:b w:val="0"/>
          <w:bCs w:val="0"/>
          <w:sz w:val="36"/>
          <w:szCs w:val="36"/>
        </w:rPr>
        <w:t>报价一览表</w:t>
      </w:r>
      <w:bookmarkEnd w:id="104"/>
      <w:bookmarkEnd w:id="105"/>
      <w:bookmarkEnd w:id="107"/>
      <w:r>
        <w:rPr>
          <w:rFonts w:hint="eastAsia" w:ascii="黑体" w:hAnsi="黑体" w:eastAsia="黑体" w:cs="黑体"/>
          <w:b w:val="0"/>
          <w:bCs w:val="0"/>
          <w:sz w:val="36"/>
          <w:szCs w:val="36"/>
        </w:rPr>
        <w:t xml:space="preserve">   </w:t>
      </w:r>
      <w:r>
        <w:rPr>
          <w:rFonts w:hint="eastAsia" w:ascii="黑体" w:hAnsi="黑体" w:eastAsia="黑体" w:cs="黑体"/>
          <w:b w:val="0"/>
          <w:bCs w:val="0"/>
          <w:szCs w:val="28"/>
        </w:rPr>
        <w:t xml:space="preserve">   </w:t>
      </w:r>
      <w:r>
        <w:rPr>
          <w:rFonts w:hint="eastAsia" w:ascii="宋体" w:hAnsi="宋体" w:cs="宋体"/>
        </w:rPr>
        <w:t xml:space="preserve">                        </w:t>
      </w:r>
      <w:r>
        <w:rPr>
          <w:rFonts w:hint="eastAsia" w:ascii="宋体" w:hAnsi="宋体" w:cs="宋体"/>
          <w:b w:val="0"/>
        </w:rPr>
        <w:t xml:space="preserve"> </w:t>
      </w:r>
    </w:p>
    <w:p>
      <w:pPr>
        <w:spacing w:line="360" w:lineRule="auto"/>
        <w:rPr>
          <w:rFonts w:ascii="宋体" w:hAnsi="宋体" w:cs="宋体"/>
          <w:sz w:val="24"/>
        </w:rPr>
      </w:pPr>
      <w:r>
        <w:rPr>
          <w:rFonts w:hint="eastAsia" w:ascii="宋体" w:hAnsi="宋体" w:cs="宋体"/>
          <w:sz w:val="24"/>
        </w:rPr>
        <w:t xml:space="preserve">                                                货币单位：人民币/元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827"/>
        <w:gridCol w:w="282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trPr>
        <w:tc>
          <w:tcPr>
            <w:tcW w:w="1065" w:type="dxa"/>
            <w:shd w:val="clear" w:color="auto" w:fill="FFFFFF"/>
            <w:vAlign w:val="center"/>
          </w:tcPr>
          <w:p>
            <w:pPr>
              <w:spacing w:line="360" w:lineRule="auto"/>
              <w:jc w:val="center"/>
              <w:rPr>
                <w:rFonts w:ascii="宋体" w:hAnsi="宋体" w:cs="宋体"/>
                <w:sz w:val="24"/>
              </w:rPr>
            </w:pPr>
            <w:r>
              <w:rPr>
                <w:rFonts w:hint="eastAsia" w:ascii="宋体" w:hAnsi="宋体" w:cs="宋体"/>
                <w:sz w:val="24"/>
              </w:rPr>
              <w:t>序号</w:t>
            </w:r>
          </w:p>
        </w:tc>
        <w:tc>
          <w:tcPr>
            <w:tcW w:w="2827" w:type="dxa"/>
            <w:shd w:val="clear" w:color="auto" w:fill="FFFFFF"/>
            <w:vAlign w:val="center"/>
          </w:tcPr>
          <w:p>
            <w:pPr>
              <w:spacing w:line="360" w:lineRule="auto"/>
              <w:jc w:val="center"/>
              <w:rPr>
                <w:rFonts w:ascii="宋体" w:hAnsi="宋体" w:cs="宋体"/>
                <w:sz w:val="24"/>
              </w:rPr>
            </w:pPr>
            <w:r>
              <w:rPr>
                <w:rFonts w:hint="eastAsia" w:ascii="宋体" w:hAnsi="宋体" w:cs="宋体"/>
                <w:sz w:val="24"/>
              </w:rPr>
              <w:t>项目名称</w:t>
            </w:r>
          </w:p>
        </w:tc>
        <w:tc>
          <w:tcPr>
            <w:tcW w:w="2828" w:type="dxa"/>
            <w:shd w:val="clear" w:color="auto" w:fill="FFFFFF"/>
            <w:vAlign w:val="center"/>
          </w:tcPr>
          <w:p>
            <w:pPr>
              <w:spacing w:line="360" w:lineRule="auto"/>
              <w:jc w:val="center"/>
              <w:rPr>
                <w:rFonts w:ascii="宋体" w:hAnsi="宋体" w:cs="宋体"/>
                <w:sz w:val="24"/>
              </w:rPr>
            </w:pPr>
            <w:r>
              <w:rPr>
                <w:rFonts w:hint="eastAsia" w:ascii="宋体" w:hAnsi="宋体" w:cs="宋体"/>
                <w:sz w:val="24"/>
              </w:rPr>
              <w:t>谈判报价(元)</w:t>
            </w:r>
          </w:p>
        </w:tc>
        <w:tc>
          <w:tcPr>
            <w:tcW w:w="2460" w:type="dxa"/>
            <w:shd w:val="clear" w:color="auto" w:fill="FFFFFF"/>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065" w:type="dxa"/>
            <w:shd w:val="clear" w:color="auto" w:fill="auto"/>
            <w:vAlign w:val="center"/>
          </w:tcPr>
          <w:p>
            <w:pPr>
              <w:spacing w:line="360" w:lineRule="auto"/>
              <w:jc w:val="center"/>
              <w:rPr>
                <w:rFonts w:ascii="宋体" w:hAnsi="宋体" w:cs="宋体"/>
                <w:sz w:val="24"/>
              </w:rPr>
            </w:pPr>
          </w:p>
        </w:tc>
        <w:tc>
          <w:tcPr>
            <w:tcW w:w="2827" w:type="dxa"/>
            <w:shd w:val="clear" w:color="auto" w:fill="FFFFFF"/>
            <w:vAlign w:val="center"/>
          </w:tcPr>
          <w:p>
            <w:pPr>
              <w:widowControl/>
              <w:spacing w:line="360" w:lineRule="auto"/>
              <w:jc w:val="center"/>
              <w:rPr>
                <w:rFonts w:ascii="宋体" w:hAnsi="宋体" w:cs="宋体"/>
                <w:sz w:val="24"/>
              </w:rPr>
            </w:pPr>
          </w:p>
        </w:tc>
        <w:tc>
          <w:tcPr>
            <w:tcW w:w="2828" w:type="dxa"/>
            <w:shd w:val="clear" w:color="auto" w:fill="FFFFFF"/>
            <w:vAlign w:val="center"/>
          </w:tcPr>
          <w:p>
            <w:pPr>
              <w:spacing w:line="360" w:lineRule="auto"/>
              <w:jc w:val="center"/>
              <w:rPr>
                <w:rFonts w:ascii="宋体" w:hAnsi="宋体" w:cs="宋体"/>
                <w:sz w:val="24"/>
              </w:rPr>
            </w:pPr>
          </w:p>
        </w:tc>
        <w:tc>
          <w:tcPr>
            <w:tcW w:w="2460" w:type="dxa"/>
            <w:shd w:val="clear" w:color="auto" w:fill="FFFFFF"/>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065" w:type="dxa"/>
            <w:shd w:val="clear" w:color="auto" w:fill="auto"/>
            <w:vAlign w:val="center"/>
          </w:tcPr>
          <w:p>
            <w:pPr>
              <w:spacing w:line="360" w:lineRule="auto"/>
              <w:jc w:val="center"/>
              <w:rPr>
                <w:rFonts w:ascii="宋体" w:hAnsi="宋体" w:cs="宋体"/>
                <w:sz w:val="24"/>
              </w:rPr>
            </w:pPr>
          </w:p>
        </w:tc>
        <w:tc>
          <w:tcPr>
            <w:tcW w:w="2827" w:type="dxa"/>
            <w:shd w:val="clear" w:color="auto" w:fill="FFFFFF"/>
            <w:vAlign w:val="center"/>
          </w:tcPr>
          <w:p>
            <w:pPr>
              <w:widowControl/>
              <w:spacing w:line="360" w:lineRule="auto"/>
              <w:jc w:val="center"/>
              <w:rPr>
                <w:rFonts w:ascii="宋体" w:hAnsi="宋体" w:cs="宋体"/>
                <w:sz w:val="24"/>
              </w:rPr>
            </w:pPr>
          </w:p>
        </w:tc>
        <w:tc>
          <w:tcPr>
            <w:tcW w:w="2828" w:type="dxa"/>
            <w:shd w:val="clear" w:color="auto" w:fill="FFFFFF"/>
            <w:vAlign w:val="center"/>
          </w:tcPr>
          <w:p>
            <w:pPr>
              <w:spacing w:line="360" w:lineRule="auto"/>
              <w:jc w:val="center"/>
              <w:rPr>
                <w:rFonts w:ascii="宋体" w:hAnsi="宋体" w:cs="宋体"/>
                <w:sz w:val="24"/>
              </w:rPr>
            </w:pPr>
          </w:p>
        </w:tc>
        <w:tc>
          <w:tcPr>
            <w:tcW w:w="2460" w:type="dxa"/>
            <w:shd w:val="clear" w:color="auto" w:fill="FFFFFF"/>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80" w:type="dxa"/>
            <w:gridSpan w:val="4"/>
            <w:vAlign w:val="center"/>
          </w:tcPr>
          <w:p>
            <w:pPr>
              <w:widowControl/>
              <w:spacing w:line="360" w:lineRule="auto"/>
              <w:jc w:val="left"/>
              <w:rPr>
                <w:rFonts w:ascii="宋体" w:hAnsi="宋体" w:cs="宋体"/>
                <w:sz w:val="24"/>
              </w:rPr>
            </w:pPr>
            <w:r>
              <w:rPr>
                <w:rFonts w:hint="eastAsia" w:ascii="宋体" w:hAnsi="宋体" w:cs="宋体"/>
                <w:sz w:val="24"/>
              </w:rPr>
              <w:t>合计(大写)：</w:t>
            </w:r>
          </w:p>
        </w:tc>
      </w:tr>
    </w:tbl>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w:t>
      </w:r>
    </w:p>
    <w:p>
      <w:pPr>
        <w:spacing w:line="360" w:lineRule="auto"/>
        <w:rPr>
          <w:rFonts w:ascii="仿宋_GB2312" w:hAnsi="仿宋_GB2312" w:eastAsia="仿宋_GB2312" w:cs="仿宋_GB2312"/>
          <w:bCs/>
          <w:szCs w:val="21"/>
        </w:rPr>
      </w:pPr>
      <w:r>
        <w:rPr>
          <w:rFonts w:hint="eastAsia" w:ascii="仿宋_GB2312" w:hAnsi="仿宋_GB2312" w:eastAsia="仿宋_GB2312" w:cs="仿宋_GB2312"/>
          <w:szCs w:val="21"/>
        </w:rPr>
        <w:t>1</w:t>
      </w:r>
      <w:r>
        <w:rPr>
          <w:rFonts w:hint="eastAsia" w:ascii="仿宋_GB2312" w:hAnsi="仿宋_GB2312" w:eastAsia="仿宋_GB2312" w:cs="仿宋_GB2312"/>
          <w:bCs/>
          <w:szCs w:val="21"/>
        </w:rPr>
        <w:t>. 谈判报价为响应人全部报价（人民币），包括响应人履行本项目合同（如果成交）所必须的所有成本费用和响应人应承担的一切税费，包括但不限于办公、交通、人员、差旅、文件、税费、工具费用及其他管理费用等。</w:t>
      </w:r>
    </w:p>
    <w:p>
      <w:pPr>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rPr>
        <w:t>2. 若用小写表示的金额和用大写表示的金额不一致，以大写表示的金额为准。</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Cs/>
          <w:szCs w:val="21"/>
        </w:rPr>
        <w:t>3. 对含糊不清或不确定的报价将视为无效报价。</w:t>
      </w:r>
    </w:p>
    <w:p>
      <w:pPr>
        <w:spacing w:line="360" w:lineRule="auto"/>
        <w:jc w:val="left"/>
        <w:rPr>
          <w:rFonts w:ascii="仿宋_GB2312" w:hAnsi="仿宋_GB2312" w:eastAsia="仿宋_GB2312" w:cs="仿宋_GB2312"/>
          <w:sz w:val="24"/>
        </w:rPr>
      </w:pPr>
    </w:p>
    <w:p>
      <w:pPr>
        <w:pStyle w:val="11"/>
        <w:spacing w:line="360" w:lineRule="auto"/>
        <w:rPr>
          <w:rFonts w:ascii="仿宋_GB2312" w:hAnsi="仿宋_GB2312" w:eastAsia="仿宋_GB2312" w:cs="仿宋_GB2312"/>
          <w:sz w:val="24"/>
        </w:rPr>
      </w:pPr>
    </w:p>
    <w:p>
      <w:pPr>
        <w:pStyle w:val="11"/>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响应人名称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(盖章)</w:t>
      </w:r>
    </w:p>
    <w:p>
      <w:pPr>
        <w:pStyle w:val="11"/>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法定代表人或委托代理人：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w:t>
      </w:r>
    </w:p>
    <w:p>
      <w:pPr>
        <w:pStyle w:val="11"/>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pStyle w:val="4"/>
        <w:spacing w:line="360" w:lineRule="auto"/>
        <w:jc w:val="center"/>
        <w:outlineLvl w:val="0"/>
        <w:rPr>
          <w:rFonts w:ascii="宋体" w:hAnsi="宋体" w:cs="宋体"/>
          <w:kern w:val="0"/>
        </w:rPr>
      </w:pPr>
      <w:bookmarkStart w:id="108" w:name="_Toc217446087"/>
      <w:bookmarkStart w:id="109" w:name="_Toc317509431"/>
      <w:bookmarkStart w:id="110" w:name="_Toc325464860"/>
      <w:r>
        <w:rPr>
          <w:rFonts w:hint="eastAsia" w:ascii="仿宋_GB2312" w:hAnsi="仿宋_GB2312" w:eastAsia="仿宋_GB2312" w:cs="仿宋_GB2312"/>
        </w:rPr>
        <w:br w:type="page"/>
      </w:r>
      <w:bookmarkStart w:id="111" w:name="_Toc116568329"/>
      <w:r>
        <w:rPr>
          <w:rFonts w:hint="eastAsia" w:ascii="黑体" w:hAnsi="黑体" w:eastAsia="黑体" w:cs="黑体"/>
          <w:b w:val="0"/>
          <w:bCs w:val="0"/>
          <w:szCs w:val="28"/>
        </w:rPr>
        <w:t>五、</w:t>
      </w:r>
      <w:bookmarkEnd w:id="108"/>
      <w:bookmarkEnd w:id="109"/>
      <w:r>
        <w:rPr>
          <w:rFonts w:hint="eastAsia" w:ascii="黑体" w:hAnsi="黑体" w:eastAsia="黑体" w:cs="黑体"/>
          <w:b w:val="0"/>
          <w:bCs w:val="0"/>
          <w:szCs w:val="28"/>
        </w:rPr>
        <w:t>响</w:t>
      </w:r>
      <w:r>
        <w:rPr>
          <w:rFonts w:hint="eastAsia" w:ascii="黑体" w:hAnsi="黑体" w:eastAsia="黑体" w:cs="黑体"/>
          <w:b w:val="0"/>
          <w:bCs w:val="0"/>
          <w:sz w:val="36"/>
          <w:szCs w:val="36"/>
        </w:rPr>
        <w:t>应人基本</w:t>
      </w:r>
      <w:r>
        <w:rPr>
          <w:rFonts w:hint="eastAsia" w:ascii="黑体" w:hAnsi="黑体" w:eastAsia="黑体" w:cs="黑体"/>
          <w:b w:val="0"/>
          <w:bCs w:val="0"/>
          <w:szCs w:val="28"/>
        </w:rPr>
        <w:t>情况表</w:t>
      </w:r>
      <w:bookmarkEnd w:id="110"/>
      <w:bookmarkEnd w:id="111"/>
      <w:r>
        <w:rPr>
          <w:rFonts w:hint="eastAsia" w:ascii="黑体" w:hAnsi="黑体" w:eastAsia="黑体" w:cs="黑体"/>
          <w:b w:val="0"/>
          <w:bCs w:val="0"/>
          <w:szCs w:val="28"/>
        </w:rPr>
        <w:t xml:space="preserve">           </w:t>
      </w:r>
      <w:r>
        <w:rPr>
          <w:rFonts w:hint="eastAsia" w:ascii="宋体" w:hAnsi="宋体" w:cs="宋体"/>
          <w:sz w:val="24"/>
          <w:szCs w:val="24"/>
        </w:rPr>
        <w:t xml:space="preserve">                       </w:t>
      </w:r>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077"/>
        <w:gridCol w:w="1375"/>
        <w:gridCol w:w="1396"/>
        <w:gridCol w:w="8"/>
        <w:gridCol w:w="1476"/>
        <w:gridCol w:w="178"/>
        <w:gridCol w:w="838"/>
        <w:gridCol w:w="113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响应人名称</w:t>
            </w:r>
          </w:p>
        </w:tc>
        <w:tc>
          <w:tcPr>
            <w:tcW w:w="7482" w:type="dxa"/>
            <w:gridSpan w:val="8"/>
            <w:vAlign w:val="center"/>
          </w:tcPr>
          <w:p>
            <w:pPr>
              <w:autoSpaceDE w:val="0"/>
              <w:autoSpaceDN w:val="0"/>
              <w:adjustRightInd w:val="0"/>
              <w:spacing w:line="360" w:lineRule="auto"/>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注册地址</w:t>
            </w:r>
          </w:p>
        </w:tc>
        <w:tc>
          <w:tcPr>
            <w:tcW w:w="3856" w:type="dxa"/>
            <w:gridSpan w:val="4"/>
            <w:vAlign w:val="center"/>
          </w:tcPr>
          <w:p>
            <w:pPr>
              <w:autoSpaceDE w:val="0"/>
              <w:autoSpaceDN w:val="0"/>
              <w:adjustRightInd w:val="0"/>
              <w:spacing w:line="360" w:lineRule="auto"/>
              <w:jc w:val="center"/>
              <w:rPr>
                <w:rFonts w:ascii="宋体" w:hAnsi="宋体" w:cs="宋体"/>
                <w:kern w:val="0"/>
                <w:sz w:val="24"/>
                <w:szCs w:val="24"/>
              </w:rPr>
            </w:pPr>
          </w:p>
        </w:tc>
        <w:tc>
          <w:tcPr>
            <w:tcW w:w="1476"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邮政编码</w:t>
            </w:r>
          </w:p>
        </w:tc>
        <w:tc>
          <w:tcPr>
            <w:tcW w:w="2150" w:type="dxa"/>
            <w:gridSpan w:val="3"/>
            <w:vAlign w:val="center"/>
          </w:tcPr>
          <w:p>
            <w:pPr>
              <w:autoSpaceDE w:val="0"/>
              <w:autoSpaceDN w:val="0"/>
              <w:adjustRightInd w:val="0"/>
              <w:spacing w:line="360" w:lineRule="auto"/>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Merge w:val="restart"/>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联系方式</w:t>
            </w:r>
          </w:p>
        </w:tc>
        <w:tc>
          <w:tcPr>
            <w:tcW w:w="1077"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联系人</w:t>
            </w:r>
          </w:p>
        </w:tc>
        <w:tc>
          <w:tcPr>
            <w:tcW w:w="2771"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1484" w:type="dxa"/>
            <w:gridSpan w:val="2"/>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电话</w:t>
            </w:r>
          </w:p>
        </w:tc>
        <w:tc>
          <w:tcPr>
            <w:tcW w:w="2150" w:type="dxa"/>
            <w:gridSpan w:val="3"/>
            <w:vAlign w:val="center"/>
          </w:tcPr>
          <w:p>
            <w:pPr>
              <w:autoSpaceDE w:val="0"/>
              <w:autoSpaceDN w:val="0"/>
              <w:adjustRightInd w:val="0"/>
              <w:spacing w:line="360" w:lineRule="auto"/>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8" w:hRule="atLeast"/>
        </w:trPr>
        <w:tc>
          <w:tcPr>
            <w:tcW w:w="1698" w:type="dxa"/>
            <w:vMerge w:val="continue"/>
            <w:vAlign w:val="center"/>
          </w:tcPr>
          <w:p>
            <w:pPr>
              <w:autoSpaceDE w:val="0"/>
              <w:autoSpaceDN w:val="0"/>
              <w:adjustRightInd w:val="0"/>
              <w:spacing w:line="360" w:lineRule="auto"/>
              <w:jc w:val="center"/>
              <w:rPr>
                <w:rFonts w:ascii="宋体" w:hAnsi="宋体" w:cs="宋体"/>
                <w:kern w:val="0"/>
                <w:sz w:val="24"/>
                <w:szCs w:val="24"/>
              </w:rPr>
            </w:pPr>
          </w:p>
        </w:tc>
        <w:tc>
          <w:tcPr>
            <w:tcW w:w="1077"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传真</w:t>
            </w:r>
          </w:p>
        </w:tc>
        <w:tc>
          <w:tcPr>
            <w:tcW w:w="2771"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1484" w:type="dxa"/>
            <w:gridSpan w:val="2"/>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网址</w:t>
            </w:r>
          </w:p>
        </w:tc>
        <w:tc>
          <w:tcPr>
            <w:tcW w:w="2150" w:type="dxa"/>
            <w:gridSpan w:val="3"/>
            <w:vAlign w:val="center"/>
          </w:tcPr>
          <w:p>
            <w:pPr>
              <w:autoSpaceDE w:val="0"/>
              <w:autoSpaceDN w:val="0"/>
              <w:adjustRightInd w:val="0"/>
              <w:spacing w:line="360" w:lineRule="auto"/>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组织结构</w:t>
            </w:r>
          </w:p>
        </w:tc>
        <w:tc>
          <w:tcPr>
            <w:tcW w:w="7482" w:type="dxa"/>
            <w:gridSpan w:val="8"/>
            <w:vAlign w:val="center"/>
          </w:tcPr>
          <w:p>
            <w:pPr>
              <w:autoSpaceDE w:val="0"/>
              <w:autoSpaceDN w:val="0"/>
              <w:adjustRightInd w:val="0"/>
              <w:spacing w:line="360" w:lineRule="auto"/>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法定代表人</w:t>
            </w:r>
          </w:p>
        </w:tc>
        <w:tc>
          <w:tcPr>
            <w:tcW w:w="1077"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375" w:type="dxa"/>
            <w:vAlign w:val="center"/>
          </w:tcPr>
          <w:p>
            <w:pPr>
              <w:autoSpaceDE w:val="0"/>
              <w:autoSpaceDN w:val="0"/>
              <w:adjustRightInd w:val="0"/>
              <w:spacing w:line="360" w:lineRule="auto"/>
              <w:jc w:val="center"/>
              <w:rPr>
                <w:rFonts w:ascii="宋体" w:hAnsi="宋体" w:cs="宋体"/>
                <w:kern w:val="0"/>
                <w:sz w:val="24"/>
                <w:szCs w:val="24"/>
              </w:rPr>
            </w:pPr>
          </w:p>
        </w:tc>
        <w:tc>
          <w:tcPr>
            <w:tcW w:w="1396"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技术职称</w:t>
            </w:r>
          </w:p>
        </w:tc>
        <w:tc>
          <w:tcPr>
            <w:tcW w:w="1484"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1016" w:type="dxa"/>
            <w:gridSpan w:val="2"/>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电话</w:t>
            </w:r>
          </w:p>
        </w:tc>
        <w:tc>
          <w:tcPr>
            <w:tcW w:w="1134" w:type="dxa"/>
            <w:vAlign w:val="center"/>
          </w:tcPr>
          <w:p>
            <w:pPr>
              <w:autoSpaceDE w:val="0"/>
              <w:autoSpaceDN w:val="0"/>
              <w:adjustRightInd w:val="0"/>
              <w:spacing w:line="360" w:lineRule="auto"/>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技术负责人</w:t>
            </w:r>
          </w:p>
        </w:tc>
        <w:tc>
          <w:tcPr>
            <w:tcW w:w="1077"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375" w:type="dxa"/>
            <w:vAlign w:val="center"/>
          </w:tcPr>
          <w:p>
            <w:pPr>
              <w:autoSpaceDE w:val="0"/>
              <w:autoSpaceDN w:val="0"/>
              <w:adjustRightInd w:val="0"/>
              <w:spacing w:line="360" w:lineRule="auto"/>
              <w:jc w:val="center"/>
              <w:rPr>
                <w:rFonts w:ascii="宋体" w:hAnsi="宋体" w:cs="宋体"/>
                <w:kern w:val="0"/>
                <w:sz w:val="24"/>
                <w:szCs w:val="24"/>
              </w:rPr>
            </w:pPr>
          </w:p>
        </w:tc>
        <w:tc>
          <w:tcPr>
            <w:tcW w:w="1396"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技术职称</w:t>
            </w:r>
          </w:p>
        </w:tc>
        <w:tc>
          <w:tcPr>
            <w:tcW w:w="1484"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1016" w:type="dxa"/>
            <w:gridSpan w:val="2"/>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电话</w:t>
            </w:r>
          </w:p>
        </w:tc>
        <w:tc>
          <w:tcPr>
            <w:tcW w:w="1134" w:type="dxa"/>
            <w:vAlign w:val="center"/>
          </w:tcPr>
          <w:p>
            <w:pPr>
              <w:autoSpaceDE w:val="0"/>
              <w:autoSpaceDN w:val="0"/>
              <w:adjustRightInd w:val="0"/>
              <w:spacing w:line="360" w:lineRule="auto"/>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成立时间</w:t>
            </w:r>
          </w:p>
        </w:tc>
        <w:tc>
          <w:tcPr>
            <w:tcW w:w="2452"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5030" w:type="dxa"/>
            <w:gridSpan w:val="6"/>
            <w:vAlign w:val="center"/>
          </w:tcPr>
          <w:p>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员工总人数：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企业资质等级</w:t>
            </w:r>
          </w:p>
        </w:tc>
        <w:tc>
          <w:tcPr>
            <w:tcW w:w="2452"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1396" w:type="dxa"/>
            <w:vMerge w:val="restart"/>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其中</w:t>
            </w:r>
          </w:p>
        </w:tc>
        <w:tc>
          <w:tcPr>
            <w:tcW w:w="1662" w:type="dxa"/>
            <w:gridSpan w:val="3"/>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项目经理</w:t>
            </w:r>
          </w:p>
        </w:tc>
        <w:tc>
          <w:tcPr>
            <w:tcW w:w="1972" w:type="dxa"/>
            <w:gridSpan w:val="2"/>
            <w:vAlign w:val="center"/>
          </w:tcPr>
          <w:p>
            <w:pPr>
              <w:autoSpaceDE w:val="0"/>
              <w:autoSpaceDN w:val="0"/>
              <w:adjustRightInd w:val="0"/>
              <w:spacing w:line="360" w:lineRule="auto"/>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营业执照号</w:t>
            </w:r>
          </w:p>
        </w:tc>
        <w:tc>
          <w:tcPr>
            <w:tcW w:w="2452"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1396" w:type="dxa"/>
            <w:vMerge w:val="continue"/>
            <w:vAlign w:val="center"/>
          </w:tcPr>
          <w:p>
            <w:pPr>
              <w:autoSpaceDE w:val="0"/>
              <w:autoSpaceDN w:val="0"/>
              <w:adjustRightInd w:val="0"/>
              <w:spacing w:line="360" w:lineRule="auto"/>
              <w:jc w:val="center"/>
              <w:rPr>
                <w:rFonts w:ascii="宋体" w:hAnsi="宋体" w:cs="宋体"/>
                <w:kern w:val="0"/>
                <w:sz w:val="24"/>
                <w:szCs w:val="24"/>
              </w:rPr>
            </w:pPr>
          </w:p>
        </w:tc>
        <w:tc>
          <w:tcPr>
            <w:tcW w:w="1662" w:type="dxa"/>
            <w:gridSpan w:val="3"/>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高级职称人员</w:t>
            </w:r>
          </w:p>
        </w:tc>
        <w:tc>
          <w:tcPr>
            <w:tcW w:w="1972" w:type="dxa"/>
            <w:gridSpan w:val="2"/>
            <w:vAlign w:val="center"/>
          </w:tcPr>
          <w:p>
            <w:pPr>
              <w:autoSpaceDE w:val="0"/>
              <w:autoSpaceDN w:val="0"/>
              <w:adjustRightInd w:val="0"/>
              <w:spacing w:line="360" w:lineRule="auto"/>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注册资金</w:t>
            </w:r>
          </w:p>
        </w:tc>
        <w:tc>
          <w:tcPr>
            <w:tcW w:w="2452"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1396" w:type="dxa"/>
            <w:vMerge w:val="continue"/>
            <w:vAlign w:val="center"/>
          </w:tcPr>
          <w:p>
            <w:pPr>
              <w:autoSpaceDE w:val="0"/>
              <w:autoSpaceDN w:val="0"/>
              <w:adjustRightInd w:val="0"/>
              <w:spacing w:line="360" w:lineRule="auto"/>
              <w:jc w:val="center"/>
              <w:rPr>
                <w:rFonts w:ascii="宋体" w:hAnsi="宋体" w:cs="宋体"/>
                <w:kern w:val="0"/>
                <w:sz w:val="24"/>
                <w:szCs w:val="24"/>
              </w:rPr>
            </w:pPr>
          </w:p>
        </w:tc>
        <w:tc>
          <w:tcPr>
            <w:tcW w:w="1662" w:type="dxa"/>
            <w:gridSpan w:val="3"/>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中级职称人员</w:t>
            </w:r>
          </w:p>
        </w:tc>
        <w:tc>
          <w:tcPr>
            <w:tcW w:w="1972" w:type="dxa"/>
            <w:gridSpan w:val="2"/>
            <w:vAlign w:val="center"/>
          </w:tcPr>
          <w:p>
            <w:pPr>
              <w:autoSpaceDE w:val="0"/>
              <w:autoSpaceDN w:val="0"/>
              <w:adjustRightInd w:val="0"/>
              <w:spacing w:line="360" w:lineRule="auto"/>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开户银行</w:t>
            </w:r>
          </w:p>
        </w:tc>
        <w:tc>
          <w:tcPr>
            <w:tcW w:w="2452"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1396" w:type="dxa"/>
            <w:vMerge w:val="continue"/>
            <w:vAlign w:val="center"/>
          </w:tcPr>
          <w:p>
            <w:pPr>
              <w:autoSpaceDE w:val="0"/>
              <w:autoSpaceDN w:val="0"/>
              <w:adjustRightInd w:val="0"/>
              <w:spacing w:line="360" w:lineRule="auto"/>
              <w:jc w:val="center"/>
              <w:rPr>
                <w:rFonts w:ascii="宋体" w:hAnsi="宋体" w:cs="宋体"/>
                <w:kern w:val="0"/>
                <w:sz w:val="24"/>
                <w:szCs w:val="24"/>
              </w:rPr>
            </w:pPr>
          </w:p>
        </w:tc>
        <w:tc>
          <w:tcPr>
            <w:tcW w:w="1662" w:type="dxa"/>
            <w:gridSpan w:val="3"/>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初级职称人员</w:t>
            </w:r>
          </w:p>
        </w:tc>
        <w:tc>
          <w:tcPr>
            <w:tcW w:w="1972" w:type="dxa"/>
            <w:gridSpan w:val="2"/>
            <w:vAlign w:val="center"/>
          </w:tcPr>
          <w:p>
            <w:pPr>
              <w:autoSpaceDE w:val="0"/>
              <w:autoSpaceDN w:val="0"/>
              <w:adjustRightInd w:val="0"/>
              <w:spacing w:line="360" w:lineRule="auto"/>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账号</w:t>
            </w:r>
          </w:p>
        </w:tc>
        <w:tc>
          <w:tcPr>
            <w:tcW w:w="2452" w:type="dxa"/>
            <w:gridSpan w:val="2"/>
            <w:vAlign w:val="center"/>
          </w:tcPr>
          <w:p>
            <w:pPr>
              <w:autoSpaceDE w:val="0"/>
              <w:autoSpaceDN w:val="0"/>
              <w:adjustRightInd w:val="0"/>
              <w:spacing w:line="360" w:lineRule="auto"/>
              <w:jc w:val="center"/>
              <w:rPr>
                <w:rFonts w:ascii="宋体" w:hAnsi="宋体" w:cs="宋体"/>
                <w:kern w:val="0"/>
                <w:sz w:val="24"/>
                <w:szCs w:val="24"/>
              </w:rPr>
            </w:pPr>
          </w:p>
        </w:tc>
        <w:tc>
          <w:tcPr>
            <w:tcW w:w="1396" w:type="dxa"/>
            <w:vMerge w:val="continue"/>
            <w:vAlign w:val="center"/>
          </w:tcPr>
          <w:p>
            <w:pPr>
              <w:autoSpaceDE w:val="0"/>
              <w:autoSpaceDN w:val="0"/>
              <w:adjustRightInd w:val="0"/>
              <w:spacing w:line="360" w:lineRule="auto"/>
              <w:jc w:val="center"/>
              <w:rPr>
                <w:rFonts w:ascii="宋体" w:hAnsi="宋体" w:cs="宋体"/>
                <w:kern w:val="0"/>
                <w:sz w:val="24"/>
                <w:szCs w:val="24"/>
              </w:rPr>
            </w:pPr>
          </w:p>
        </w:tc>
        <w:tc>
          <w:tcPr>
            <w:tcW w:w="1662" w:type="dxa"/>
            <w:gridSpan w:val="3"/>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技工</w:t>
            </w:r>
          </w:p>
        </w:tc>
        <w:tc>
          <w:tcPr>
            <w:tcW w:w="1972" w:type="dxa"/>
            <w:gridSpan w:val="2"/>
            <w:vAlign w:val="center"/>
          </w:tcPr>
          <w:p>
            <w:pPr>
              <w:autoSpaceDE w:val="0"/>
              <w:autoSpaceDN w:val="0"/>
              <w:adjustRightInd w:val="0"/>
              <w:spacing w:line="360" w:lineRule="auto"/>
              <w:jc w:val="center"/>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44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经营范围</w:t>
            </w:r>
          </w:p>
        </w:tc>
        <w:tc>
          <w:tcPr>
            <w:tcW w:w="7482" w:type="dxa"/>
            <w:gridSpan w:val="8"/>
            <w:vAlign w:val="center"/>
          </w:tcPr>
          <w:p>
            <w:pPr>
              <w:autoSpaceDE w:val="0"/>
              <w:autoSpaceDN w:val="0"/>
              <w:adjustRightInd w:val="0"/>
              <w:spacing w:line="360" w:lineRule="auto"/>
              <w:rPr>
                <w:rFonts w:ascii="宋体" w:hAnsi="宋体" w:cs="宋体"/>
                <w:b/>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69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备  注</w:t>
            </w:r>
          </w:p>
        </w:tc>
        <w:tc>
          <w:tcPr>
            <w:tcW w:w="7482" w:type="dxa"/>
            <w:gridSpan w:val="8"/>
          </w:tcPr>
          <w:p>
            <w:pPr>
              <w:autoSpaceDE w:val="0"/>
              <w:autoSpaceDN w:val="0"/>
              <w:adjustRightInd w:val="0"/>
              <w:spacing w:line="360" w:lineRule="auto"/>
              <w:jc w:val="left"/>
              <w:rPr>
                <w:rFonts w:ascii="宋体" w:hAnsi="宋体" w:cs="宋体"/>
                <w:kern w:val="0"/>
                <w:sz w:val="24"/>
                <w:szCs w:val="24"/>
              </w:rPr>
            </w:pPr>
          </w:p>
        </w:tc>
      </w:tr>
    </w:tbl>
    <w:p>
      <w:pPr>
        <w:spacing w:line="360" w:lineRule="auto"/>
        <w:jc w:val="left"/>
        <w:rPr>
          <w:rFonts w:ascii="宋体" w:hAnsi="宋体"/>
        </w:rPr>
      </w:pPr>
      <w:r>
        <w:rPr>
          <w:rFonts w:hint="eastAsia" w:ascii="宋体" w:hAnsi="宋体"/>
          <w:sz w:val="18"/>
          <w:szCs w:val="18"/>
        </w:rPr>
        <w:t>注：附营业执照副本等响应人资格要求材料的复印件。</w:t>
      </w:r>
      <w:r>
        <w:rPr>
          <w:rFonts w:ascii="宋体" w:hAnsi="宋体"/>
          <w:sz w:val="18"/>
          <w:szCs w:val="18"/>
        </w:rPr>
        <w:br w:type="page"/>
      </w:r>
      <w:bookmarkStart w:id="112" w:name="_Toc325464862"/>
    </w:p>
    <w:p>
      <w:pPr>
        <w:pStyle w:val="4"/>
        <w:spacing w:line="360" w:lineRule="auto"/>
        <w:jc w:val="center"/>
        <w:outlineLvl w:val="0"/>
        <w:rPr>
          <w:rFonts w:ascii="黑体" w:hAnsi="黑体" w:eastAsia="黑体" w:cs="黑体"/>
          <w:b w:val="0"/>
          <w:bCs w:val="0"/>
          <w:spacing w:val="-20"/>
          <w:szCs w:val="28"/>
        </w:rPr>
      </w:pPr>
      <w:bookmarkStart w:id="113" w:name="_Toc116568330"/>
      <w:r>
        <w:rPr>
          <w:rFonts w:hint="eastAsia" w:ascii="黑体" w:hAnsi="黑体" w:eastAsia="黑体" w:cs="黑体"/>
          <w:b w:val="0"/>
          <w:bCs w:val="0"/>
          <w:spacing w:val="-20"/>
          <w:szCs w:val="28"/>
        </w:rPr>
        <w:t>六、同类项目业绩一览表</w:t>
      </w:r>
      <w:bookmarkEnd w:id="11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340"/>
        <w:gridCol w:w="1591"/>
        <w:gridCol w:w="1591"/>
        <w:gridCol w:w="1404"/>
        <w:gridCol w:w="132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58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340" w:type="dxa"/>
            <w:vAlign w:val="center"/>
          </w:tcPr>
          <w:p>
            <w:pPr>
              <w:spacing w:line="360" w:lineRule="auto"/>
              <w:jc w:val="center"/>
              <w:rPr>
                <w:rFonts w:ascii="宋体" w:hAnsi="宋体"/>
                <w:sz w:val="24"/>
                <w:szCs w:val="24"/>
              </w:rPr>
            </w:pPr>
            <w:r>
              <w:rPr>
                <w:rFonts w:hint="eastAsia" w:ascii="宋体" w:hAnsi="宋体"/>
                <w:sz w:val="24"/>
                <w:szCs w:val="24"/>
              </w:rPr>
              <w:t>业主名称</w:t>
            </w:r>
          </w:p>
        </w:tc>
        <w:tc>
          <w:tcPr>
            <w:tcW w:w="1591" w:type="dxa"/>
            <w:vAlign w:val="center"/>
          </w:tcPr>
          <w:p>
            <w:pPr>
              <w:spacing w:line="360" w:lineRule="auto"/>
              <w:jc w:val="center"/>
              <w:rPr>
                <w:rFonts w:ascii="宋体" w:hAnsi="宋体"/>
                <w:sz w:val="24"/>
                <w:szCs w:val="24"/>
              </w:rPr>
            </w:pPr>
            <w:r>
              <w:rPr>
                <w:rFonts w:hint="eastAsia" w:ascii="宋体" w:hAnsi="宋体"/>
                <w:sz w:val="24"/>
                <w:szCs w:val="24"/>
              </w:rPr>
              <w:t>项目名称</w:t>
            </w:r>
          </w:p>
        </w:tc>
        <w:tc>
          <w:tcPr>
            <w:tcW w:w="1591" w:type="dxa"/>
            <w:vAlign w:val="center"/>
          </w:tcPr>
          <w:p>
            <w:pPr>
              <w:spacing w:line="360" w:lineRule="auto"/>
              <w:jc w:val="center"/>
              <w:rPr>
                <w:rFonts w:ascii="宋体" w:hAnsi="宋体"/>
                <w:sz w:val="24"/>
                <w:szCs w:val="24"/>
              </w:rPr>
            </w:pPr>
            <w:r>
              <w:rPr>
                <w:rFonts w:hint="eastAsia" w:ascii="宋体" w:hAnsi="宋体"/>
                <w:sz w:val="24"/>
                <w:szCs w:val="24"/>
              </w:rPr>
              <w:t>合同内容</w:t>
            </w:r>
          </w:p>
        </w:tc>
        <w:tc>
          <w:tcPr>
            <w:tcW w:w="1404" w:type="dxa"/>
            <w:vAlign w:val="center"/>
          </w:tcPr>
          <w:p>
            <w:pPr>
              <w:spacing w:line="360" w:lineRule="auto"/>
              <w:jc w:val="center"/>
              <w:rPr>
                <w:rFonts w:ascii="宋体" w:hAnsi="宋体"/>
                <w:sz w:val="24"/>
                <w:szCs w:val="24"/>
              </w:rPr>
            </w:pPr>
            <w:r>
              <w:rPr>
                <w:rFonts w:hint="eastAsia" w:ascii="宋体" w:hAnsi="宋体"/>
                <w:sz w:val="24"/>
                <w:szCs w:val="24"/>
              </w:rPr>
              <w:t>合同总价</w:t>
            </w:r>
          </w:p>
        </w:tc>
        <w:tc>
          <w:tcPr>
            <w:tcW w:w="1321" w:type="dxa"/>
            <w:vAlign w:val="center"/>
          </w:tcPr>
          <w:p>
            <w:pPr>
              <w:spacing w:line="360" w:lineRule="auto"/>
              <w:jc w:val="center"/>
              <w:rPr>
                <w:rFonts w:ascii="宋体" w:hAnsi="宋体"/>
                <w:sz w:val="24"/>
                <w:szCs w:val="24"/>
              </w:rPr>
            </w:pPr>
            <w:r>
              <w:rPr>
                <w:rFonts w:hint="eastAsia" w:ascii="宋体" w:hAnsi="宋体"/>
                <w:sz w:val="24"/>
                <w:szCs w:val="24"/>
              </w:rPr>
              <w:t>完成时间</w:t>
            </w:r>
          </w:p>
        </w:tc>
        <w:tc>
          <w:tcPr>
            <w:tcW w:w="1238" w:type="dxa"/>
            <w:vAlign w:val="center"/>
          </w:tcPr>
          <w:p>
            <w:pPr>
              <w:spacing w:line="360" w:lineRule="auto"/>
              <w:jc w:val="center"/>
              <w:rPr>
                <w:rFonts w:ascii="宋体" w:hAnsi="宋体"/>
                <w:sz w:val="24"/>
                <w:szCs w:val="24"/>
              </w:rPr>
            </w:pPr>
            <w:r>
              <w:rPr>
                <w:rFonts w:hint="eastAsia" w:ascii="宋体" w:hAnsi="宋体"/>
                <w:sz w:val="24"/>
                <w:szCs w:val="24"/>
              </w:rPr>
              <w:t>业主单位联系电话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588" w:type="dxa"/>
            <w:vAlign w:val="center"/>
          </w:tcPr>
          <w:p>
            <w:pPr>
              <w:spacing w:line="360" w:lineRule="auto"/>
              <w:jc w:val="center"/>
              <w:rPr>
                <w:rFonts w:ascii="宋体" w:hAnsi="宋体"/>
                <w:sz w:val="24"/>
                <w:szCs w:val="24"/>
              </w:rPr>
            </w:pPr>
          </w:p>
        </w:tc>
        <w:tc>
          <w:tcPr>
            <w:tcW w:w="1340" w:type="dxa"/>
            <w:vAlign w:val="center"/>
          </w:tcPr>
          <w:p>
            <w:pPr>
              <w:pStyle w:val="10"/>
              <w:spacing w:line="360" w:lineRule="auto"/>
              <w:ind w:left="5250"/>
              <w:rPr>
                <w:rFonts w:ascii="宋体" w:hAnsi="宋体"/>
                <w:sz w:val="24"/>
                <w:szCs w:val="24"/>
              </w:rPr>
            </w:pPr>
          </w:p>
        </w:tc>
        <w:tc>
          <w:tcPr>
            <w:tcW w:w="1591"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404" w:type="dxa"/>
            <w:vAlign w:val="center"/>
          </w:tcPr>
          <w:p>
            <w:pPr>
              <w:spacing w:line="360" w:lineRule="auto"/>
              <w:rPr>
                <w:rFonts w:ascii="宋体" w:hAnsi="宋体"/>
                <w:sz w:val="24"/>
                <w:szCs w:val="24"/>
              </w:rPr>
            </w:pPr>
          </w:p>
        </w:tc>
        <w:tc>
          <w:tcPr>
            <w:tcW w:w="1321" w:type="dxa"/>
            <w:vAlign w:val="center"/>
          </w:tcPr>
          <w:p>
            <w:pPr>
              <w:spacing w:line="360" w:lineRule="auto"/>
              <w:rPr>
                <w:rFonts w:ascii="宋体" w:hAnsi="宋体"/>
                <w:sz w:val="24"/>
                <w:szCs w:val="24"/>
              </w:rPr>
            </w:pPr>
          </w:p>
        </w:tc>
        <w:tc>
          <w:tcPr>
            <w:tcW w:w="1238"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588" w:type="dxa"/>
            <w:vAlign w:val="center"/>
          </w:tcPr>
          <w:p>
            <w:pPr>
              <w:spacing w:line="360" w:lineRule="auto"/>
              <w:jc w:val="center"/>
              <w:rPr>
                <w:rFonts w:ascii="宋体" w:hAnsi="宋体"/>
                <w:sz w:val="24"/>
                <w:szCs w:val="24"/>
              </w:rPr>
            </w:pPr>
          </w:p>
        </w:tc>
        <w:tc>
          <w:tcPr>
            <w:tcW w:w="1340"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404" w:type="dxa"/>
            <w:vAlign w:val="center"/>
          </w:tcPr>
          <w:p>
            <w:pPr>
              <w:spacing w:line="360" w:lineRule="auto"/>
              <w:rPr>
                <w:rFonts w:ascii="宋体" w:hAnsi="宋体"/>
                <w:sz w:val="24"/>
                <w:szCs w:val="24"/>
              </w:rPr>
            </w:pPr>
          </w:p>
        </w:tc>
        <w:tc>
          <w:tcPr>
            <w:tcW w:w="1321" w:type="dxa"/>
            <w:vAlign w:val="center"/>
          </w:tcPr>
          <w:p>
            <w:pPr>
              <w:spacing w:line="360" w:lineRule="auto"/>
              <w:rPr>
                <w:rFonts w:ascii="宋体" w:hAnsi="宋体"/>
                <w:sz w:val="24"/>
                <w:szCs w:val="24"/>
              </w:rPr>
            </w:pPr>
          </w:p>
        </w:tc>
        <w:tc>
          <w:tcPr>
            <w:tcW w:w="1238"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588" w:type="dxa"/>
            <w:vAlign w:val="center"/>
          </w:tcPr>
          <w:p>
            <w:pPr>
              <w:spacing w:line="360" w:lineRule="auto"/>
              <w:jc w:val="center"/>
              <w:rPr>
                <w:rFonts w:ascii="宋体" w:hAnsi="宋体"/>
                <w:sz w:val="24"/>
                <w:szCs w:val="24"/>
              </w:rPr>
            </w:pPr>
          </w:p>
        </w:tc>
        <w:tc>
          <w:tcPr>
            <w:tcW w:w="1340"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404" w:type="dxa"/>
            <w:vAlign w:val="center"/>
          </w:tcPr>
          <w:p>
            <w:pPr>
              <w:spacing w:line="360" w:lineRule="auto"/>
              <w:rPr>
                <w:rFonts w:ascii="宋体" w:hAnsi="宋体"/>
                <w:sz w:val="24"/>
                <w:szCs w:val="24"/>
              </w:rPr>
            </w:pPr>
          </w:p>
        </w:tc>
        <w:tc>
          <w:tcPr>
            <w:tcW w:w="1321" w:type="dxa"/>
            <w:vAlign w:val="center"/>
          </w:tcPr>
          <w:p>
            <w:pPr>
              <w:spacing w:line="360" w:lineRule="auto"/>
              <w:rPr>
                <w:rFonts w:ascii="宋体" w:hAnsi="宋体"/>
                <w:sz w:val="24"/>
                <w:szCs w:val="24"/>
              </w:rPr>
            </w:pPr>
          </w:p>
        </w:tc>
        <w:tc>
          <w:tcPr>
            <w:tcW w:w="1238"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588" w:type="dxa"/>
            <w:vAlign w:val="center"/>
          </w:tcPr>
          <w:p>
            <w:pPr>
              <w:spacing w:line="360" w:lineRule="auto"/>
              <w:jc w:val="center"/>
              <w:rPr>
                <w:rFonts w:ascii="宋体" w:hAnsi="宋体"/>
                <w:sz w:val="24"/>
                <w:szCs w:val="24"/>
              </w:rPr>
            </w:pPr>
          </w:p>
        </w:tc>
        <w:tc>
          <w:tcPr>
            <w:tcW w:w="1340"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404" w:type="dxa"/>
            <w:vAlign w:val="center"/>
          </w:tcPr>
          <w:p>
            <w:pPr>
              <w:spacing w:line="360" w:lineRule="auto"/>
              <w:rPr>
                <w:rFonts w:ascii="宋体" w:hAnsi="宋体"/>
                <w:sz w:val="24"/>
                <w:szCs w:val="24"/>
              </w:rPr>
            </w:pPr>
          </w:p>
        </w:tc>
        <w:tc>
          <w:tcPr>
            <w:tcW w:w="1321" w:type="dxa"/>
            <w:vAlign w:val="center"/>
          </w:tcPr>
          <w:p>
            <w:pPr>
              <w:spacing w:line="360" w:lineRule="auto"/>
              <w:rPr>
                <w:rFonts w:ascii="宋体" w:hAnsi="宋体"/>
                <w:sz w:val="24"/>
                <w:szCs w:val="24"/>
              </w:rPr>
            </w:pPr>
          </w:p>
        </w:tc>
        <w:tc>
          <w:tcPr>
            <w:tcW w:w="1238"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588" w:type="dxa"/>
            <w:vAlign w:val="center"/>
          </w:tcPr>
          <w:p>
            <w:pPr>
              <w:spacing w:line="360" w:lineRule="auto"/>
              <w:jc w:val="center"/>
              <w:rPr>
                <w:rFonts w:ascii="宋体" w:hAnsi="宋体"/>
                <w:sz w:val="24"/>
                <w:szCs w:val="24"/>
              </w:rPr>
            </w:pPr>
          </w:p>
        </w:tc>
        <w:tc>
          <w:tcPr>
            <w:tcW w:w="1340"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404" w:type="dxa"/>
            <w:vAlign w:val="center"/>
          </w:tcPr>
          <w:p>
            <w:pPr>
              <w:spacing w:line="360" w:lineRule="auto"/>
              <w:rPr>
                <w:rFonts w:ascii="宋体" w:hAnsi="宋体"/>
                <w:sz w:val="24"/>
                <w:szCs w:val="24"/>
              </w:rPr>
            </w:pPr>
          </w:p>
        </w:tc>
        <w:tc>
          <w:tcPr>
            <w:tcW w:w="1321" w:type="dxa"/>
            <w:vAlign w:val="center"/>
          </w:tcPr>
          <w:p>
            <w:pPr>
              <w:spacing w:line="360" w:lineRule="auto"/>
              <w:rPr>
                <w:rFonts w:ascii="宋体" w:hAnsi="宋体"/>
                <w:sz w:val="24"/>
                <w:szCs w:val="24"/>
              </w:rPr>
            </w:pPr>
          </w:p>
        </w:tc>
        <w:tc>
          <w:tcPr>
            <w:tcW w:w="1238"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588" w:type="dxa"/>
            <w:vAlign w:val="center"/>
          </w:tcPr>
          <w:p>
            <w:pPr>
              <w:spacing w:line="360" w:lineRule="auto"/>
              <w:jc w:val="center"/>
              <w:rPr>
                <w:rFonts w:ascii="宋体" w:hAnsi="宋体"/>
                <w:sz w:val="24"/>
                <w:szCs w:val="24"/>
              </w:rPr>
            </w:pPr>
          </w:p>
        </w:tc>
        <w:tc>
          <w:tcPr>
            <w:tcW w:w="1340"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404" w:type="dxa"/>
            <w:vAlign w:val="center"/>
          </w:tcPr>
          <w:p>
            <w:pPr>
              <w:spacing w:line="360" w:lineRule="auto"/>
              <w:rPr>
                <w:rFonts w:ascii="宋体" w:hAnsi="宋体"/>
                <w:sz w:val="24"/>
                <w:szCs w:val="24"/>
              </w:rPr>
            </w:pPr>
          </w:p>
        </w:tc>
        <w:tc>
          <w:tcPr>
            <w:tcW w:w="1321" w:type="dxa"/>
            <w:vAlign w:val="center"/>
          </w:tcPr>
          <w:p>
            <w:pPr>
              <w:spacing w:line="360" w:lineRule="auto"/>
              <w:rPr>
                <w:rFonts w:ascii="宋体" w:hAnsi="宋体"/>
                <w:sz w:val="24"/>
                <w:szCs w:val="24"/>
              </w:rPr>
            </w:pPr>
          </w:p>
        </w:tc>
        <w:tc>
          <w:tcPr>
            <w:tcW w:w="1238"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588" w:type="dxa"/>
            <w:vAlign w:val="center"/>
          </w:tcPr>
          <w:p>
            <w:pPr>
              <w:spacing w:line="360" w:lineRule="auto"/>
              <w:jc w:val="center"/>
              <w:rPr>
                <w:rFonts w:ascii="宋体" w:hAnsi="宋体"/>
                <w:sz w:val="24"/>
                <w:szCs w:val="24"/>
              </w:rPr>
            </w:pPr>
          </w:p>
        </w:tc>
        <w:tc>
          <w:tcPr>
            <w:tcW w:w="1340"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591" w:type="dxa"/>
            <w:vAlign w:val="center"/>
          </w:tcPr>
          <w:p>
            <w:pPr>
              <w:spacing w:line="360" w:lineRule="auto"/>
              <w:rPr>
                <w:rFonts w:ascii="宋体" w:hAnsi="宋体"/>
                <w:sz w:val="24"/>
                <w:szCs w:val="24"/>
              </w:rPr>
            </w:pPr>
          </w:p>
        </w:tc>
        <w:tc>
          <w:tcPr>
            <w:tcW w:w="1404" w:type="dxa"/>
            <w:vAlign w:val="center"/>
          </w:tcPr>
          <w:p>
            <w:pPr>
              <w:spacing w:line="360" w:lineRule="auto"/>
              <w:rPr>
                <w:rFonts w:ascii="宋体" w:hAnsi="宋体"/>
                <w:sz w:val="24"/>
                <w:szCs w:val="24"/>
              </w:rPr>
            </w:pPr>
          </w:p>
        </w:tc>
        <w:tc>
          <w:tcPr>
            <w:tcW w:w="1321" w:type="dxa"/>
            <w:vAlign w:val="center"/>
          </w:tcPr>
          <w:p>
            <w:pPr>
              <w:spacing w:line="360" w:lineRule="auto"/>
              <w:rPr>
                <w:rFonts w:ascii="宋体" w:hAnsi="宋体"/>
                <w:sz w:val="24"/>
                <w:szCs w:val="24"/>
              </w:rPr>
            </w:pPr>
          </w:p>
        </w:tc>
        <w:tc>
          <w:tcPr>
            <w:tcW w:w="1238" w:type="dxa"/>
            <w:vAlign w:val="center"/>
          </w:tcPr>
          <w:p>
            <w:pPr>
              <w:spacing w:line="360" w:lineRule="auto"/>
              <w:rPr>
                <w:rFonts w:ascii="宋体" w:hAnsi="宋体"/>
                <w:sz w:val="24"/>
                <w:szCs w:val="24"/>
              </w:rPr>
            </w:pPr>
          </w:p>
        </w:tc>
      </w:tr>
    </w:tbl>
    <w:p>
      <w:pPr>
        <w:spacing w:line="360" w:lineRule="auto"/>
        <w:jc w:val="left"/>
        <w:rPr>
          <w:rFonts w:ascii="宋体" w:hAnsi="宋体"/>
          <w:sz w:val="18"/>
          <w:szCs w:val="18"/>
        </w:rPr>
      </w:pPr>
      <w:r>
        <w:rPr>
          <w:rFonts w:hint="eastAsia" w:ascii="宋体" w:hAnsi="宋体"/>
          <w:sz w:val="18"/>
          <w:szCs w:val="18"/>
        </w:rPr>
        <w:t>注：请提供上述项目的合同复印件。</w:t>
      </w:r>
    </w:p>
    <w:p>
      <w:pPr>
        <w:spacing w:line="360" w:lineRule="auto"/>
        <w:jc w:val="left"/>
        <w:rPr>
          <w:rFonts w:ascii="宋体" w:hAnsi="宋体"/>
          <w:sz w:val="18"/>
          <w:szCs w:val="18"/>
        </w:rPr>
      </w:pPr>
    </w:p>
    <w:p>
      <w:pPr>
        <w:pStyle w:val="4"/>
        <w:spacing w:line="360" w:lineRule="auto"/>
        <w:jc w:val="center"/>
        <w:outlineLvl w:val="0"/>
        <w:rPr>
          <w:rFonts w:ascii="黑体" w:hAnsi="黑体" w:eastAsia="黑体" w:cs="黑体"/>
          <w:sz w:val="36"/>
          <w:szCs w:val="36"/>
        </w:rPr>
      </w:pPr>
      <w:bookmarkStart w:id="114" w:name="_Toc116568331"/>
      <w:r>
        <w:rPr>
          <w:rFonts w:hint="eastAsia" w:ascii="黑体" w:hAnsi="黑体" w:eastAsia="黑体" w:cs="黑体"/>
          <w:b w:val="0"/>
          <w:bCs w:val="0"/>
          <w:sz w:val="36"/>
          <w:szCs w:val="36"/>
        </w:rPr>
        <w:t>七、拟派主要人员情况表</w:t>
      </w:r>
      <w:bookmarkEnd w:id="11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9"/>
        <w:gridCol w:w="584"/>
        <w:gridCol w:w="856"/>
        <w:gridCol w:w="807"/>
        <w:gridCol w:w="272"/>
        <w:gridCol w:w="539"/>
        <w:gridCol w:w="1439"/>
        <w:gridCol w:w="180"/>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18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姓名</w:t>
            </w:r>
          </w:p>
        </w:tc>
        <w:tc>
          <w:tcPr>
            <w:tcW w:w="943" w:type="dxa"/>
            <w:gridSpan w:val="2"/>
            <w:vAlign w:val="center"/>
          </w:tcPr>
          <w:p>
            <w:pPr>
              <w:spacing w:line="360" w:lineRule="auto"/>
              <w:jc w:val="center"/>
              <w:rPr>
                <w:rFonts w:ascii="宋体" w:hAnsi="宋体"/>
                <w:color w:val="000000"/>
                <w:sz w:val="24"/>
                <w:szCs w:val="24"/>
              </w:rPr>
            </w:pPr>
          </w:p>
        </w:tc>
        <w:tc>
          <w:tcPr>
            <w:tcW w:w="85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年龄</w:t>
            </w:r>
          </w:p>
        </w:tc>
        <w:tc>
          <w:tcPr>
            <w:tcW w:w="1079" w:type="dxa"/>
            <w:gridSpan w:val="2"/>
            <w:vAlign w:val="center"/>
          </w:tcPr>
          <w:p>
            <w:pPr>
              <w:spacing w:line="360" w:lineRule="auto"/>
              <w:jc w:val="center"/>
              <w:rPr>
                <w:rFonts w:ascii="宋体" w:hAnsi="宋体"/>
                <w:color w:val="000000"/>
                <w:sz w:val="24"/>
                <w:szCs w:val="24"/>
              </w:rPr>
            </w:pPr>
          </w:p>
        </w:tc>
        <w:tc>
          <w:tcPr>
            <w:tcW w:w="2158" w:type="dxa"/>
            <w:gridSpan w:val="3"/>
            <w:vAlign w:val="center"/>
          </w:tcPr>
          <w:p>
            <w:pPr>
              <w:spacing w:line="360" w:lineRule="auto"/>
              <w:jc w:val="center"/>
              <w:rPr>
                <w:rFonts w:ascii="宋体" w:hAnsi="宋体"/>
                <w:color w:val="000000"/>
                <w:sz w:val="24"/>
                <w:szCs w:val="24"/>
              </w:rPr>
            </w:pPr>
            <w:r>
              <w:rPr>
                <w:rFonts w:hint="eastAsia" w:ascii="宋体" w:hAnsi="宋体"/>
                <w:color w:val="000000"/>
                <w:sz w:val="24"/>
                <w:szCs w:val="24"/>
              </w:rPr>
              <w:t>学历</w:t>
            </w:r>
          </w:p>
        </w:tc>
        <w:tc>
          <w:tcPr>
            <w:tcW w:w="2298"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职称</w:t>
            </w:r>
          </w:p>
        </w:tc>
        <w:tc>
          <w:tcPr>
            <w:tcW w:w="943" w:type="dxa"/>
            <w:gridSpan w:val="2"/>
            <w:vAlign w:val="center"/>
          </w:tcPr>
          <w:p>
            <w:pPr>
              <w:spacing w:line="360" w:lineRule="auto"/>
              <w:jc w:val="center"/>
              <w:rPr>
                <w:rFonts w:ascii="宋体" w:hAnsi="宋体"/>
                <w:color w:val="000000"/>
                <w:sz w:val="24"/>
                <w:szCs w:val="24"/>
              </w:rPr>
            </w:pPr>
          </w:p>
        </w:tc>
        <w:tc>
          <w:tcPr>
            <w:tcW w:w="85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职务</w:t>
            </w:r>
          </w:p>
        </w:tc>
        <w:tc>
          <w:tcPr>
            <w:tcW w:w="807" w:type="dxa"/>
            <w:vAlign w:val="center"/>
          </w:tcPr>
          <w:p>
            <w:pPr>
              <w:spacing w:line="360" w:lineRule="auto"/>
              <w:jc w:val="center"/>
              <w:rPr>
                <w:rFonts w:ascii="宋体" w:hAnsi="宋体"/>
                <w:color w:val="000000"/>
                <w:sz w:val="24"/>
                <w:szCs w:val="24"/>
              </w:rPr>
            </w:pPr>
          </w:p>
        </w:tc>
        <w:tc>
          <w:tcPr>
            <w:tcW w:w="2430" w:type="dxa"/>
            <w:gridSpan w:val="4"/>
            <w:vAlign w:val="center"/>
          </w:tcPr>
          <w:p>
            <w:pPr>
              <w:spacing w:line="360" w:lineRule="auto"/>
              <w:jc w:val="center"/>
              <w:rPr>
                <w:rFonts w:ascii="宋体" w:hAnsi="宋体"/>
                <w:color w:val="000000"/>
                <w:sz w:val="24"/>
                <w:szCs w:val="24"/>
              </w:rPr>
            </w:pPr>
            <w:r>
              <w:rPr>
                <w:rFonts w:hint="eastAsia" w:ascii="宋体" w:hAnsi="宋体"/>
                <w:color w:val="000000"/>
                <w:sz w:val="24"/>
                <w:szCs w:val="24"/>
              </w:rPr>
              <w:t>拟在本合同任职</w:t>
            </w:r>
          </w:p>
        </w:tc>
        <w:tc>
          <w:tcPr>
            <w:tcW w:w="2298"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毕业学校</w:t>
            </w:r>
          </w:p>
        </w:tc>
        <w:tc>
          <w:tcPr>
            <w:tcW w:w="7334" w:type="dxa"/>
            <w:gridSpan w:val="9"/>
            <w:vAlign w:val="center"/>
          </w:tcPr>
          <w:p>
            <w:pPr>
              <w:spacing w:line="360" w:lineRule="auto"/>
              <w:rPr>
                <w:rFonts w:ascii="宋体" w:hAnsi="宋体"/>
                <w:color w:val="000000"/>
                <w:sz w:val="24"/>
                <w:szCs w:val="24"/>
              </w:rPr>
            </w:pPr>
            <w:r>
              <w:rPr>
                <w:rFonts w:hint="eastAsia" w:ascii="宋体" w:hAnsi="宋体"/>
                <w:color w:val="000000"/>
                <w:sz w:val="24"/>
                <w:szCs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10"/>
            <w:vAlign w:val="center"/>
          </w:tcPr>
          <w:p>
            <w:pPr>
              <w:spacing w:line="360" w:lineRule="auto"/>
              <w:jc w:val="center"/>
              <w:rPr>
                <w:rFonts w:ascii="宋体" w:hAnsi="宋体"/>
                <w:color w:val="000000"/>
                <w:sz w:val="24"/>
                <w:szCs w:val="24"/>
              </w:rPr>
            </w:pPr>
            <w:r>
              <w:rPr>
                <w:rFonts w:hint="eastAsia" w:ascii="宋体" w:hAnsi="宋体"/>
                <w:color w:val="000000"/>
                <w:sz w:val="24"/>
                <w:szCs w:val="24"/>
              </w:rPr>
              <w:t xml:space="preserve">主要工作经历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r>
              <w:rPr>
                <w:rFonts w:hint="eastAsia" w:ascii="宋体" w:hAnsi="宋体"/>
                <w:color w:val="000000"/>
                <w:sz w:val="24"/>
                <w:szCs w:val="24"/>
              </w:rPr>
              <w:t>时间</w:t>
            </w:r>
          </w:p>
        </w:tc>
        <w:tc>
          <w:tcPr>
            <w:tcW w:w="3058" w:type="dxa"/>
            <w:gridSpan w:val="5"/>
            <w:vAlign w:val="center"/>
          </w:tcPr>
          <w:p>
            <w:pPr>
              <w:spacing w:line="360" w:lineRule="auto"/>
              <w:jc w:val="center"/>
              <w:rPr>
                <w:rFonts w:ascii="宋体" w:hAnsi="宋体"/>
                <w:color w:val="000000"/>
                <w:sz w:val="24"/>
                <w:szCs w:val="24"/>
              </w:rPr>
            </w:pPr>
            <w:r>
              <w:rPr>
                <w:rFonts w:hint="eastAsia" w:ascii="宋体" w:hAnsi="宋体"/>
                <w:color w:val="000000"/>
                <w:sz w:val="24"/>
                <w:szCs w:val="24"/>
              </w:rPr>
              <w:t>参加过的类似项目</w:t>
            </w:r>
          </w:p>
        </w:tc>
        <w:tc>
          <w:tcPr>
            <w:tcW w:w="1439"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担任职务</w:t>
            </w:r>
          </w:p>
        </w:tc>
        <w:tc>
          <w:tcPr>
            <w:tcW w:w="2478" w:type="dxa"/>
            <w:gridSpan w:val="2"/>
            <w:vAlign w:val="center"/>
          </w:tcPr>
          <w:p>
            <w:pPr>
              <w:spacing w:line="360" w:lineRule="auto"/>
              <w:jc w:val="center"/>
              <w:rPr>
                <w:rFonts w:ascii="宋体" w:hAnsi="宋体"/>
                <w:color w:val="000000"/>
                <w:sz w:val="24"/>
                <w:szCs w:val="24"/>
              </w:rPr>
            </w:pPr>
            <w:r>
              <w:rPr>
                <w:rFonts w:hint="eastAsia" w:ascii="宋体" w:hAnsi="宋体"/>
                <w:color w:val="000000"/>
                <w:sz w:val="24"/>
                <w:szCs w:val="24"/>
              </w:rPr>
              <w:t>甲方及联系电话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宋体" w:hAnsi="宋体"/>
                <w:color w:val="000000"/>
                <w:sz w:val="24"/>
                <w:szCs w:val="24"/>
              </w:rPr>
            </w:pPr>
          </w:p>
        </w:tc>
        <w:tc>
          <w:tcPr>
            <w:tcW w:w="3058" w:type="dxa"/>
            <w:gridSpan w:val="5"/>
            <w:vAlign w:val="center"/>
          </w:tcPr>
          <w:p>
            <w:pPr>
              <w:spacing w:line="360" w:lineRule="auto"/>
              <w:jc w:val="center"/>
              <w:rPr>
                <w:rFonts w:ascii="宋体" w:hAnsi="宋体"/>
                <w:color w:val="000000"/>
                <w:sz w:val="24"/>
                <w:szCs w:val="24"/>
              </w:rPr>
            </w:pPr>
          </w:p>
        </w:tc>
        <w:tc>
          <w:tcPr>
            <w:tcW w:w="1439" w:type="dxa"/>
            <w:vAlign w:val="center"/>
          </w:tcPr>
          <w:p>
            <w:pPr>
              <w:spacing w:line="360" w:lineRule="auto"/>
              <w:jc w:val="center"/>
              <w:rPr>
                <w:rFonts w:ascii="宋体" w:hAnsi="宋体"/>
                <w:color w:val="000000"/>
                <w:sz w:val="24"/>
                <w:szCs w:val="24"/>
              </w:rPr>
            </w:pPr>
          </w:p>
        </w:tc>
        <w:tc>
          <w:tcPr>
            <w:tcW w:w="2478" w:type="dxa"/>
            <w:gridSpan w:val="2"/>
            <w:vAlign w:val="center"/>
          </w:tcPr>
          <w:p>
            <w:pPr>
              <w:spacing w:line="360" w:lineRule="auto"/>
              <w:jc w:val="center"/>
              <w:rPr>
                <w:rFonts w:ascii="宋体" w:hAnsi="宋体"/>
                <w:color w:val="000000"/>
                <w:sz w:val="24"/>
                <w:szCs w:val="24"/>
              </w:rPr>
            </w:pPr>
          </w:p>
        </w:tc>
      </w:tr>
    </w:tbl>
    <w:p>
      <w:pPr>
        <w:spacing w:line="360" w:lineRule="auto"/>
        <w:rPr>
          <w:rFonts w:ascii="宋体" w:hAnsi="宋体"/>
        </w:rPr>
      </w:pPr>
    </w:p>
    <w:p>
      <w:pPr>
        <w:tabs>
          <w:tab w:val="left" w:pos="1050"/>
          <w:tab w:val="left" w:pos="1838"/>
        </w:tabs>
        <w:spacing w:line="360" w:lineRule="auto"/>
        <w:rPr>
          <w:rFonts w:ascii="宋体" w:hAnsi="宋体"/>
          <w:b/>
          <w:szCs w:val="21"/>
        </w:rPr>
      </w:pPr>
    </w:p>
    <w:bookmarkEnd w:id="86"/>
    <w:bookmarkEnd w:id="112"/>
    <w:p>
      <w:pPr>
        <w:pStyle w:val="4"/>
        <w:spacing w:line="360" w:lineRule="auto"/>
        <w:jc w:val="center"/>
        <w:outlineLvl w:val="0"/>
        <w:rPr>
          <w:rFonts w:ascii="黑体" w:hAnsi="黑体" w:eastAsia="黑体" w:cs="黑体"/>
          <w:sz w:val="36"/>
          <w:szCs w:val="36"/>
        </w:rPr>
      </w:pPr>
      <w:bookmarkStart w:id="115" w:name="_Toc116568332"/>
      <w:r>
        <w:rPr>
          <w:rFonts w:hint="eastAsia" w:ascii="黑体" w:hAnsi="黑体" w:eastAsia="黑体" w:cs="黑体"/>
          <w:b w:val="0"/>
          <w:bCs w:val="0"/>
          <w:sz w:val="36"/>
          <w:szCs w:val="36"/>
        </w:rPr>
        <w:t>八、承诺书</w:t>
      </w:r>
      <w:bookmarkEnd w:id="115"/>
    </w:p>
    <w:p>
      <w:pPr>
        <w:jc w:val="center"/>
        <w:rPr>
          <w:rFonts w:ascii="宋体" w:hAnsi="宋体"/>
          <w:b/>
          <w:color w:val="000000"/>
          <w:sz w:val="36"/>
          <w:szCs w:val="36"/>
        </w:rPr>
      </w:pPr>
    </w:p>
    <w:p>
      <w:pPr>
        <w:jc w:val="center"/>
        <w:rPr>
          <w:rFonts w:ascii="宋体" w:hAnsi="宋体"/>
          <w:b/>
          <w:color w:val="000000"/>
          <w:sz w:val="24"/>
        </w:rPr>
      </w:pPr>
    </w:p>
    <w:p>
      <w:pPr>
        <w:spacing w:line="360" w:lineRule="auto"/>
        <w:rPr>
          <w:rFonts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（采购人）                   </w:t>
      </w:r>
    </w:p>
    <w:p>
      <w:pPr>
        <w:spacing w:line="64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竞争性谈判响应文件在整个竞争性谈判过程均保持有效性,若我公司在本次项目的竞争性谈判的全过程中提供了不真实的资料或信息,则采购人有充分理由和权力拒绝直至取消我公司的竞争性谈判及中选资格,且我公司将无条件承担由此给本次竞争性谈判带来的一切后果(包括经济损失)。</w:t>
      </w:r>
    </w:p>
    <w:p>
      <w:pPr>
        <w:spacing w:line="64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特此承诺</w:t>
      </w:r>
    </w:p>
    <w:p>
      <w:pPr>
        <w:spacing w:line="360" w:lineRule="auto"/>
        <w:rPr>
          <w:rFonts w:ascii="宋体" w:hAnsi="宋体"/>
          <w:color w:val="000000"/>
          <w:sz w:val="32"/>
          <w:szCs w:val="32"/>
        </w:rPr>
      </w:pPr>
    </w:p>
    <w:p>
      <w:pPr>
        <w:spacing w:line="360" w:lineRule="auto"/>
        <w:rPr>
          <w:rFonts w:ascii="宋体" w:hAnsi="宋体"/>
          <w:color w:val="000000"/>
          <w:sz w:val="32"/>
          <w:szCs w:val="32"/>
        </w:rPr>
      </w:pPr>
    </w:p>
    <w:p>
      <w:pPr>
        <w:spacing w:line="360" w:lineRule="auto"/>
        <w:rPr>
          <w:rFonts w:ascii="宋体" w:hAnsi="宋体"/>
          <w:color w:val="000000"/>
          <w:sz w:val="32"/>
          <w:szCs w:val="32"/>
        </w:rPr>
      </w:pPr>
    </w:p>
    <w:p>
      <w:pPr>
        <w:spacing w:line="360" w:lineRule="auto"/>
        <w:ind w:right="480" w:firstLine="3840" w:firstLineChars="1600"/>
        <w:rPr>
          <w:rFonts w:ascii="宋体" w:hAnsi="宋体"/>
          <w:color w:val="000000"/>
          <w:sz w:val="24"/>
          <w:u w:val="single"/>
        </w:rPr>
      </w:pPr>
      <w:r>
        <w:rPr>
          <w:rFonts w:hint="eastAsia" w:ascii="宋体" w:hAnsi="宋体"/>
          <w:color w:val="000000"/>
          <w:sz w:val="24"/>
        </w:rPr>
        <w:t>响应人：</w:t>
      </w:r>
      <w:r>
        <w:rPr>
          <w:rFonts w:hint="eastAsia" w:ascii="宋体" w:hAnsi="宋体"/>
          <w:color w:val="000000"/>
          <w:sz w:val="24"/>
          <w:u w:val="single"/>
        </w:rPr>
        <w:t xml:space="preserve">                    </w:t>
      </w:r>
    </w:p>
    <w:p>
      <w:pPr>
        <w:spacing w:line="360" w:lineRule="auto"/>
        <w:ind w:right="480" w:firstLine="3840" w:firstLineChars="1600"/>
        <w:rPr>
          <w:rFonts w:ascii="宋体" w:hAnsi="宋体"/>
          <w:color w:val="000000"/>
          <w:sz w:val="24"/>
        </w:rPr>
      </w:pPr>
      <w:r>
        <w:rPr>
          <w:rFonts w:hint="eastAsia" w:ascii="宋体" w:hAnsi="宋体"/>
          <w:color w:val="000000"/>
          <w:sz w:val="24"/>
          <w:u w:val="single"/>
        </w:rPr>
        <w:t xml:space="preserve">（加盖公章）                     </w:t>
      </w:r>
    </w:p>
    <w:p>
      <w:pPr>
        <w:spacing w:line="360" w:lineRule="auto"/>
        <w:ind w:right="480" w:firstLine="3600" w:firstLineChars="1500"/>
        <w:rPr>
          <w:rFonts w:ascii="宋体" w:hAnsi="宋体"/>
          <w:color w:val="000000"/>
          <w:sz w:val="24"/>
        </w:rPr>
      </w:pPr>
      <w:r>
        <w:rPr>
          <w:rFonts w:hint="eastAsia" w:ascii="宋体" w:hAnsi="宋体"/>
          <w:color w:val="000000"/>
          <w:sz w:val="24"/>
        </w:rPr>
        <w:t>负责人或委托代理人（签字）：</w:t>
      </w:r>
      <w:r>
        <w:rPr>
          <w:rFonts w:hint="eastAsia" w:ascii="宋体" w:hAnsi="宋体"/>
          <w:color w:val="000000"/>
          <w:sz w:val="24"/>
          <w:u w:val="single"/>
        </w:rPr>
        <w:t xml:space="preserve">              </w:t>
      </w:r>
    </w:p>
    <w:p>
      <w:pPr>
        <w:spacing w:line="360" w:lineRule="auto"/>
        <w:ind w:right="480" w:firstLine="3720" w:firstLineChars="1550"/>
        <w:rPr>
          <w:rFonts w:ascii="宋体" w:hAnsi="宋体"/>
          <w:color w:val="000000"/>
          <w:sz w:val="24"/>
        </w:rPr>
      </w:pPr>
    </w:p>
    <w:p>
      <w:pPr>
        <w:spacing w:line="360" w:lineRule="auto"/>
        <w:ind w:right="480" w:firstLine="5040" w:firstLineChars="2100"/>
        <w:rPr>
          <w:rFonts w:ascii="仿宋_GB2312" w:eastAsia="仿宋_GB2312"/>
          <w:b/>
          <w:color w:val="000000"/>
          <w:sz w:val="36"/>
          <w:szCs w:val="36"/>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 日 </w:t>
      </w:r>
    </w:p>
    <w:p>
      <w:pPr>
        <w:rPr>
          <w:rFonts w:ascii="仿宋_GB2312" w:eastAsia="仿宋_GB2312"/>
          <w:b/>
          <w:color w:val="000000"/>
          <w:sz w:val="36"/>
          <w:szCs w:val="36"/>
        </w:rPr>
      </w:pPr>
    </w:p>
    <w:p>
      <w:pPr>
        <w:rPr>
          <w:rFonts w:ascii="仿宋_GB2312" w:eastAsia="仿宋_GB2312"/>
          <w:b/>
          <w:color w:val="000000"/>
          <w:sz w:val="36"/>
          <w:szCs w:val="36"/>
        </w:rPr>
      </w:pPr>
      <w:r>
        <w:rPr>
          <w:rFonts w:hint="eastAsia" w:ascii="仿宋_GB2312" w:eastAsia="仿宋_GB2312"/>
          <w:b/>
          <w:color w:val="000000"/>
          <w:sz w:val="36"/>
          <w:szCs w:val="36"/>
        </w:rPr>
        <w:br w:type="page"/>
      </w:r>
    </w:p>
    <w:p>
      <w:pPr>
        <w:pStyle w:val="4"/>
        <w:spacing w:line="360" w:lineRule="auto"/>
        <w:jc w:val="center"/>
        <w:outlineLvl w:val="0"/>
        <w:rPr>
          <w:rFonts w:ascii="黑体" w:hAnsi="黑体" w:eastAsia="黑体" w:cs="黑体"/>
          <w:sz w:val="36"/>
          <w:szCs w:val="36"/>
        </w:rPr>
      </w:pPr>
      <w:bookmarkStart w:id="116" w:name="_Toc116568333"/>
      <w:r>
        <w:rPr>
          <w:rFonts w:hint="eastAsia" w:ascii="黑体" w:hAnsi="黑体" w:eastAsia="黑体" w:cs="黑体"/>
          <w:b w:val="0"/>
          <w:bCs w:val="0"/>
          <w:sz w:val="36"/>
          <w:szCs w:val="36"/>
        </w:rPr>
        <w:t>九、信誉证明</w:t>
      </w:r>
      <w:bookmarkEnd w:id="116"/>
    </w:p>
    <w:p>
      <w:pPr>
        <w:spacing w:line="480" w:lineRule="exact"/>
        <w:jc w:val="center"/>
        <w:rPr>
          <w:rFonts w:ascii="宋体" w:hAnsi="宋体"/>
          <w:b/>
          <w:sz w:val="36"/>
          <w:szCs w:val="36"/>
        </w:rPr>
      </w:pPr>
    </w:p>
    <w:p>
      <w:pPr>
        <w:spacing w:line="480" w:lineRule="exact"/>
        <w:jc w:val="center"/>
        <w:rPr>
          <w:rFonts w:ascii="宋体" w:hAnsi="宋体"/>
          <w:b/>
          <w:sz w:val="36"/>
          <w:szCs w:val="36"/>
        </w:rPr>
      </w:pPr>
      <w:r>
        <w:rPr>
          <w:rFonts w:hint="eastAsia" w:ascii="宋体" w:hAnsi="宋体"/>
          <w:b/>
          <w:sz w:val="36"/>
          <w:szCs w:val="36"/>
        </w:rPr>
        <w:t>声    明</w:t>
      </w:r>
    </w:p>
    <w:p>
      <w:pPr>
        <w:spacing w:line="48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（采购人）                   </w:t>
      </w:r>
    </w:p>
    <w:p>
      <w:pPr>
        <w:spacing w:line="480" w:lineRule="exact"/>
        <w:ind w:firstLine="480" w:firstLineChars="200"/>
        <w:rPr>
          <w:rFonts w:ascii="宋体" w:hAnsi="宋体"/>
          <w:b/>
        </w:rPr>
      </w:pPr>
      <w:r>
        <w:rPr>
          <w:rFonts w:ascii="宋体" w:hAnsi="宋体"/>
          <w:color w:val="000000"/>
          <w:sz w:val="24"/>
        </w:rPr>
        <w:t>我</w:t>
      </w:r>
      <w:r>
        <w:rPr>
          <w:rFonts w:hint="eastAsia" w:ascii="宋体" w:hAnsi="宋体"/>
          <w:color w:val="333333"/>
          <w:u w:val="single"/>
        </w:rPr>
        <w:t xml:space="preserve">                            </w:t>
      </w:r>
      <w:r>
        <w:rPr>
          <w:rFonts w:ascii="宋体" w:hAnsi="宋体"/>
          <w:color w:val="000000"/>
          <w:sz w:val="24"/>
        </w:rPr>
        <w:t>（</w:t>
      </w:r>
      <w:r>
        <w:rPr>
          <w:rFonts w:hint="eastAsia" w:ascii="宋体" w:hAnsi="宋体"/>
          <w:color w:val="000000"/>
          <w:sz w:val="24"/>
        </w:rPr>
        <w:t>单位</w:t>
      </w:r>
      <w:r>
        <w:rPr>
          <w:rFonts w:ascii="宋体" w:hAnsi="宋体"/>
          <w:color w:val="000000"/>
          <w:sz w:val="24"/>
        </w:rPr>
        <w:t>全称）</w:t>
      </w:r>
      <w:r>
        <w:rPr>
          <w:rFonts w:hint="eastAsia" w:ascii="宋体" w:hAnsi="宋体"/>
          <w:color w:val="000000"/>
          <w:sz w:val="24"/>
        </w:rPr>
        <w:t>在</w:t>
      </w:r>
      <w:r>
        <w:rPr>
          <w:rFonts w:ascii="宋体" w:hAnsi="宋体"/>
          <w:color w:val="000000"/>
          <w:sz w:val="24"/>
        </w:rPr>
        <w:t>近3年</w:t>
      </w:r>
      <w:r>
        <w:rPr>
          <w:rFonts w:hint="eastAsia" w:ascii="宋体" w:hAnsi="宋体"/>
          <w:color w:val="000000"/>
          <w:sz w:val="24"/>
        </w:rPr>
        <w:t>从业活动中，</w:t>
      </w:r>
      <w:r>
        <w:rPr>
          <w:rFonts w:ascii="宋体" w:hAnsi="宋体"/>
          <w:color w:val="000000"/>
          <w:sz w:val="24"/>
        </w:rPr>
        <w:t>无违</w:t>
      </w:r>
      <w:r>
        <w:rPr>
          <w:rFonts w:hint="eastAsia" w:ascii="宋体" w:hAnsi="宋体"/>
          <w:color w:val="000000"/>
          <w:sz w:val="24"/>
        </w:rPr>
        <w:t>法、违纪、违规等不良记录。</w:t>
      </w:r>
    </w:p>
    <w:p>
      <w:pPr>
        <w:spacing w:line="480" w:lineRule="exact"/>
        <w:ind w:firstLine="480" w:firstLineChars="200"/>
        <w:rPr>
          <w:rFonts w:ascii="宋体" w:hAnsi="宋体"/>
          <w:color w:val="000000"/>
          <w:sz w:val="24"/>
        </w:rPr>
      </w:pPr>
      <w:r>
        <w:rPr>
          <w:rFonts w:ascii="宋体" w:hAnsi="宋体"/>
          <w:color w:val="000000"/>
          <w:sz w:val="24"/>
        </w:rPr>
        <w:t>特此声明：</w:t>
      </w:r>
    </w:p>
    <w:p>
      <w:pPr>
        <w:tabs>
          <w:tab w:val="left" w:pos="2280"/>
        </w:tabs>
        <w:spacing w:line="480" w:lineRule="exact"/>
        <w:rPr>
          <w:rFonts w:ascii="宋体" w:hAnsi="宋体"/>
          <w:b/>
        </w:rPr>
      </w:pPr>
      <w:r>
        <w:rPr>
          <w:rFonts w:ascii="宋体" w:hAnsi="宋体"/>
          <w:b/>
        </w:rPr>
        <w:tab/>
      </w:r>
    </w:p>
    <w:p>
      <w:pPr>
        <w:spacing w:line="360" w:lineRule="auto"/>
        <w:ind w:firstLine="3960" w:firstLineChars="1650"/>
        <w:rPr>
          <w:rFonts w:ascii="宋体" w:hAnsi="宋体"/>
          <w:sz w:val="24"/>
        </w:rPr>
      </w:pPr>
      <w:r>
        <w:rPr>
          <w:rFonts w:hint="eastAsia" w:ascii="宋体" w:hAnsi="宋体"/>
          <w:sz w:val="24"/>
        </w:rPr>
        <w:t>响应人：</w:t>
      </w:r>
      <w:r>
        <w:rPr>
          <w:rFonts w:hint="eastAsia" w:ascii="宋体" w:hAnsi="宋体"/>
          <w:sz w:val="24"/>
          <w:u w:val="single"/>
        </w:rPr>
        <w:t xml:space="preserve">                    (全称、盖章）</w:t>
      </w:r>
    </w:p>
    <w:p>
      <w:pPr>
        <w:spacing w:line="480" w:lineRule="exact"/>
        <w:ind w:firstLine="2400" w:firstLineChars="1000"/>
        <w:rPr>
          <w:rFonts w:ascii="宋体" w:hAnsi="宋体"/>
          <w:sz w:val="24"/>
        </w:rPr>
      </w:pPr>
    </w:p>
    <w:p>
      <w:pPr>
        <w:spacing w:line="480" w:lineRule="exact"/>
        <w:ind w:firstLine="3960" w:firstLineChars="1650"/>
        <w:rPr>
          <w:rFonts w:ascii="宋体" w:hAnsi="宋体"/>
          <w:b/>
        </w:rPr>
      </w:pPr>
      <w:r>
        <w:rPr>
          <w:rFonts w:hint="eastAsia" w:ascii="宋体" w:hAnsi="宋体"/>
          <w:sz w:val="24"/>
        </w:rPr>
        <w:t>法定代表人（或委托代理人）：</w:t>
      </w:r>
      <w:r>
        <w:rPr>
          <w:rFonts w:hint="eastAsia" w:ascii="宋体" w:hAnsi="宋体"/>
          <w:sz w:val="24"/>
          <w:u w:val="single"/>
        </w:rPr>
        <w:t xml:space="preserve">       </w:t>
      </w:r>
      <w:r>
        <w:rPr>
          <w:rFonts w:hint="eastAsia" w:ascii="宋体" w:hAnsi="宋体"/>
          <w:sz w:val="24"/>
        </w:rPr>
        <w:t>（签字）</w:t>
      </w:r>
    </w:p>
    <w:p>
      <w:pPr>
        <w:spacing w:line="480" w:lineRule="exact"/>
        <w:rPr>
          <w:rFonts w:ascii="宋体" w:hAnsi="宋体"/>
          <w:b/>
        </w:rPr>
      </w:pPr>
    </w:p>
    <w:p>
      <w:pPr>
        <w:spacing w:line="480" w:lineRule="exact"/>
        <w:rPr>
          <w:rFonts w:ascii="宋体" w:hAnsi="宋体"/>
          <w:b/>
        </w:rPr>
      </w:pPr>
    </w:p>
    <w:p>
      <w:pPr>
        <w:spacing w:line="480" w:lineRule="exact"/>
        <w:ind w:firstLine="6000" w:firstLineChars="2500"/>
        <w:rPr>
          <w:rFonts w:ascii="宋体" w:hAnsi="宋体"/>
          <w:b/>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tabs>
          <w:tab w:val="left" w:pos="1050"/>
          <w:tab w:val="left" w:pos="1838"/>
        </w:tabs>
        <w:spacing w:line="360" w:lineRule="auto"/>
        <w:rPr>
          <w:rFonts w:ascii="宋体" w:hAnsi="宋体"/>
          <w:b/>
          <w:szCs w:val="21"/>
        </w:rPr>
      </w:pPr>
    </w:p>
    <w:p>
      <w:pPr>
        <w:widowControl/>
        <w:spacing w:line="360" w:lineRule="auto"/>
        <w:rPr>
          <w:rFonts w:ascii="宋体" w:hAnsi="宋体" w:cs="宋体"/>
          <w:b/>
          <w:sz w:val="28"/>
        </w:rPr>
      </w:pPr>
    </w:p>
    <w:p>
      <w:pPr>
        <w:pStyle w:val="7"/>
        <w:rPr>
          <w:rFonts w:ascii="宋体" w:hAnsi="宋体" w:cs="宋体"/>
          <w:b/>
          <w:sz w:val="28"/>
        </w:rPr>
      </w:pPr>
    </w:p>
    <w:p>
      <w:pPr>
        <w:rPr>
          <w:rFonts w:ascii="宋体" w:hAnsi="宋体" w:cs="宋体"/>
          <w:b/>
          <w:sz w:val="28"/>
        </w:rPr>
      </w:pPr>
    </w:p>
    <w:p>
      <w:pPr>
        <w:pStyle w:val="7"/>
        <w:rPr>
          <w:rFonts w:ascii="宋体" w:hAnsi="宋体" w:cs="宋体"/>
          <w:b/>
          <w:sz w:val="28"/>
        </w:rPr>
      </w:pPr>
    </w:p>
    <w:p>
      <w:pPr>
        <w:rPr>
          <w:rFonts w:ascii="宋体" w:hAnsi="宋体" w:cs="宋体"/>
          <w:b/>
          <w:sz w:val="28"/>
        </w:rPr>
      </w:pPr>
    </w:p>
    <w:p>
      <w:pPr>
        <w:pStyle w:val="7"/>
      </w:pPr>
    </w:p>
    <w:p>
      <w:pPr>
        <w:pStyle w:val="4"/>
        <w:spacing w:line="360" w:lineRule="auto"/>
        <w:jc w:val="center"/>
        <w:rPr>
          <w:rFonts w:ascii="黑体" w:hAnsi="黑体" w:eastAsia="黑体" w:cs="黑体"/>
          <w:b w:val="0"/>
          <w:bCs w:val="0"/>
          <w:sz w:val="36"/>
          <w:szCs w:val="36"/>
        </w:rPr>
        <w:sectPr>
          <w:pgSz w:w="11906" w:h="16838"/>
          <w:pgMar w:top="1440" w:right="1800" w:bottom="1440" w:left="1800" w:header="851" w:footer="992" w:gutter="0"/>
          <w:cols w:space="425" w:num="1"/>
          <w:docGrid w:type="lines" w:linePitch="312" w:charSpace="0"/>
        </w:sectPr>
      </w:pPr>
    </w:p>
    <w:p>
      <w:pPr>
        <w:pStyle w:val="4"/>
        <w:spacing w:line="360" w:lineRule="auto"/>
        <w:jc w:val="center"/>
        <w:outlineLvl w:val="0"/>
        <w:rPr>
          <w:rFonts w:ascii="黑体" w:hAnsi="黑体" w:eastAsia="黑体" w:cs="黑体"/>
          <w:sz w:val="36"/>
          <w:szCs w:val="36"/>
        </w:rPr>
      </w:pPr>
      <w:bookmarkStart w:id="117" w:name="_Toc116568334"/>
      <w:r>
        <w:rPr>
          <w:rFonts w:hint="eastAsia" w:ascii="黑体" w:hAnsi="黑体" w:eastAsia="黑体" w:cs="黑体"/>
          <w:b w:val="0"/>
          <w:bCs w:val="0"/>
          <w:sz w:val="36"/>
          <w:szCs w:val="36"/>
        </w:rPr>
        <w:t>十、其他</w:t>
      </w:r>
      <w:r>
        <w:rPr>
          <w:rFonts w:hint="eastAsia" w:ascii="黑体" w:hAnsi="黑体" w:eastAsia="黑体" w:cs="黑体"/>
          <w:b w:val="0"/>
          <w:bCs w:val="0"/>
          <w:szCs w:val="28"/>
        </w:rPr>
        <w:t>内容</w:t>
      </w:r>
      <w:bookmarkEnd w:id="117"/>
    </w:p>
    <w:p>
      <w:pPr>
        <w:spacing w:line="360" w:lineRule="auto"/>
        <w:jc w:val="center"/>
        <w:rPr>
          <w:rFonts w:ascii="宋体" w:hAnsi="宋体"/>
          <w:sz w:val="24"/>
          <w:szCs w:val="21"/>
        </w:rPr>
      </w:pPr>
      <w:r>
        <w:rPr>
          <w:rFonts w:hint="eastAsia" w:ascii="宋体" w:hAnsi="宋体"/>
          <w:sz w:val="24"/>
          <w:szCs w:val="21"/>
        </w:rPr>
        <w:t>(谈判文件要求提交的其他文件或响应人认为需补充说明的资料)</w:t>
      </w:r>
    </w:p>
    <w:p>
      <w:pPr>
        <w:pStyle w:val="4"/>
        <w:spacing w:line="360" w:lineRule="auto"/>
        <w:jc w:val="center"/>
        <w:rPr>
          <w:rFonts w:ascii="黑体" w:hAnsi="黑体" w:eastAsia="黑体" w:cs="黑体"/>
          <w:b w:val="0"/>
          <w:bCs w:val="0"/>
          <w:sz w:val="36"/>
          <w:szCs w:val="36"/>
        </w:rPr>
        <w:sectPr>
          <w:pgSz w:w="11906" w:h="16838"/>
          <w:pgMar w:top="1440" w:right="1800" w:bottom="1440" w:left="1800" w:header="851" w:footer="992" w:gutter="0"/>
          <w:cols w:space="425" w:num="1"/>
          <w:docGrid w:type="lines" w:linePitch="312" w:charSpace="0"/>
        </w:sectPr>
      </w:pPr>
      <w:bookmarkStart w:id="118" w:name="_Toc2964"/>
    </w:p>
    <w:p>
      <w:pPr>
        <w:pStyle w:val="4"/>
        <w:spacing w:line="360" w:lineRule="auto"/>
        <w:jc w:val="center"/>
        <w:outlineLvl w:val="0"/>
        <w:rPr>
          <w:rFonts w:ascii="黑体" w:hAnsi="黑体" w:eastAsia="黑体" w:cs="黑体"/>
          <w:sz w:val="36"/>
          <w:szCs w:val="36"/>
        </w:rPr>
      </w:pPr>
      <w:bookmarkStart w:id="119" w:name="_Toc116568335"/>
      <w:r>
        <w:rPr>
          <w:rFonts w:hint="eastAsia" w:ascii="黑体" w:hAnsi="黑体" w:eastAsia="黑体" w:cs="黑体"/>
          <w:b w:val="0"/>
          <w:bCs w:val="0"/>
          <w:sz w:val="36"/>
          <w:szCs w:val="36"/>
        </w:rPr>
        <w:t>十一、二次报价单</w:t>
      </w:r>
      <w:bookmarkEnd w:id="118"/>
      <w:bookmarkEnd w:id="119"/>
    </w:p>
    <w:p>
      <w:pPr>
        <w:pStyle w:val="7"/>
        <w:spacing w:line="600" w:lineRule="exact"/>
        <w:rPr>
          <w:rFonts w:ascii="仿宋" w:hAnsi="仿宋" w:eastAsia="仿宋" w:cs="仿宋"/>
          <w:sz w:val="32"/>
          <w:szCs w:val="32"/>
        </w:rPr>
      </w:pPr>
      <w:r>
        <w:rPr>
          <w:rFonts w:hint="eastAsia" w:ascii="仿宋" w:hAnsi="仿宋" w:eastAsia="仿宋" w:cs="仿宋"/>
          <w:sz w:val="32"/>
          <w:szCs w:val="32"/>
        </w:rPr>
        <w:t>四川能投广元燃气发电有限公司：</w:t>
      </w:r>
    </w:p>
    <w:p>
      <w:pPr>
        <w:pStyle w:val="7"/>
        <w:spacing w:line="600" w:lineRule="exact"/>
        <w:ind w:firstLine="480"/>
        <w:rPr>
          <w:rFonts w:ascii="仿宋" w:hAnsi="仿宋" w:eastAsia="仿宋" w:cs="仿宋"/>
          <w:sz w:val="32"/>
          <w:szCs w:val="32"/>
        </w:rPr>
      </w:pPr>
    </w:p>
    <w:p>
      <w:pPr>
        <w:pStyle w:val="7"/>
        <w:spacing w:line="600" w:lineRule="exact"/>
        <w:ind w:firstLine="480"/>
        <w:rPr>
          <w:rFonts w:ascii="仿宋" w:hAnsi="仿宋" w:eastAsia="仿宋" w:cs="仿宋"/>
          <w:sz w:val="32"/>
          <w:szCs w:val="32"/>
        </w:rPr>
      </w:pPr>
      <w:r>
        <w:rPr>
          <w:rFonts w:hint="eastAsia" w:ascii="仿宋" w:hAnsi="仿宋" w:eastAsia="仿宋" w:cs="仿宋"/>
          <w:sz w:val="32"/>
          <w:szCs w:val="32"/>
        </w:rPr>
        <w:t>根据谈判会议上的各项要求，本人经请示单位领导同意并代表本单位对谈判项目作出最终报价（人民币）如下：</w:t>
      </w:r>
    </w:p>
    <w:p>
      <w:pPr>
        <w:pStyle w:val="7"/>
        <w:spacing w:line="600" w:lineRule="exact"/>
        <w:ind w:firstLine="480"/>
        <w:rPr>
          <w:rFonts w:ascii="仿宋" w:hAnsi="仿宋" w:eastAsia="仿宋" w:cs="仿宋"/>
          <w:sz w:val="32"/>
          <w:szCs w:val="32"/>
        </w:rPr>
      </w:pPr>
      <w:r>
        <w:rPr>
          <w:rFonts w:hint="eastAsia" w:ascii="仿宋" w:hAnsi="仿宋" w:eastAsia="仿宋" w:cs="仿宋"/>
          <w:sz w:val="32"/>
          <w:szCs w:val="32"/>
        </w:rPr>
        <w:t>总报价：        元</w:t>
      </w:r>
    </w:p>
    <w:p>
      <w:pPr>
        <w:pStyle w:val="7"/>
        <w:spacing w:line="600" w:lineRule="exact"/>
        <w:ind w:firstLine="480"/>
        <w:rPr>
          <w:rFonts w:ascii="仿宋" w:hAnsi="仿宋" w:eastAsia="仿宋" w:cs="仿宋"/>
          <w:sz w:val="32"/>
          <w:szCs w:val="32"/>
        </w:rPr>
      </w:pPr>
      <w:r>
        <w:rPr>
          <w:rFonts w:hint="eastAsia" w:ascii="仿宋" w:hAnsi="仿宋" w:eastAsia="仿宋" w:cs="仿宋"/>
          <w:sz w:val="32"/>
          <w:szCs w:val="32"/>
        </w:rPr>
        <w:t>相关补充说明：</w:t>
      </w:r>
    </w:p>
    <w:p>
      <w:pPr>
        <w:pStyle w:val="7"/>
        <w:ind w:firstLine="480"/>
        <w:rPr>
          <w:rFonts w:ascii="仿宋" w:hAnsi="仿宋" w:eastAsia="仿宋" w:cs="仿宋"/>
          <w:sz w:val="32"/>
          <w:szCs w:val="32"/>
        </w:rPr>
      </w:pPr>
    </w:p>
    <w:p>
      <w:pPr>
        <w:pStyle w:val="7"/>
        <w:ind w:firstLine="480"/>
        <w:rPr>
          <w:rFonts w:ascii="仿宋" w:hAnsi="仿宋" w:eastAsia="仿宋" w:cs="仿宋"/>
          <w:sz w:val="32"/>
          <w:szCs w:val="32"/>
        </w:rPr>
      </w:pPr>
    </w:p>
    <w:p>
      <w:pPr>
        <w:pStyle w:val="7"/>
        <w:ind w:firstLine="480"/>
        <w:rPr>
          <w:rFonts w:ascii="仿宋" w:hAnsi="仿宋" w:eastAsia="仿宋" w:cs="仿宋"/>
          <w:sz w:val="32"/>
          <w:szCs w:val="32"/>
        </w:rPr>
      </w:pPr>
    </w:p>
    <w:p>
      <w:pPr>
        <w:pStyle w:val="7"/>
        <w:spacing w:line="600" w:lineRule="exact"/>
        <w:ind w:firstLine="480"/>
        <w:rPr>
          <w:rFonts w:ascii="仿宋" w:hAnsi="仿宋" w:eastAsia="仿宋" w:cs="仿宋"/>
          <w:sz w:val="32"/>
          <w:szCs w:val="32"/>
        </w:rPr>
      </w:pPr>
      <w:r>
        <w:rPr>
          <w:rFonts w:hint="eastAsia" w:ascii="仿宋" w:hAnsi="仿宋" w:eastAsia="仿宋" w:cs="仿宋"/>
          <w:sz w:val="32"/>
          <w:szCs w:val="32"/>
        </w:rPr>
        <w:t xml:space="preserve">                               响应人（公章）：</w:t>
      </w:r>
    </w:p>
    <w:p>
      <w:pPr>
        <w:pStyle w:val="7"/>
        <w:spacing w:line="600" w:lineRule="exact"/>
        <w:ind w:firstLine="480"/>
        <w:rPr>
          <w:rFonts w:ascii="仿宋" w:hAnsi="仿宋" w:eastAsia="仿宋" w:cs="仿宋"/>
          <w:sz w:val="32"/>
          <w:szCs w:val="32"/>
        </w:rPr>
      </w:pPr>
      <w:r>
        <w:rPr>
          <w:rFonts w:hint="eastAsia" w:ascii="仿宋" w:hAnsi="仿宋" w:eastAsia="仿宋" w:cs="仿宋"/>
          <w:sz w:val="32"/>
          <w:szCs w:val="32"/>
        </w:rPr>
        <w:t xml:space="preserve">                               法定代表人或</w:t>
      </w:r>
    </w:p>
    <w:p>
      <w:pPr>
        <w:pStyle w:val="7"/>
        <w:spacing w:line="600" w:lineRule="exact"/>
        <w:ind w:left="3990" w:leftChars="1900"/>
        <w:rPr>
          <w:rFonts w:ascii="仿宋" w:hAnsi="仿宋" w:eastAsia="仿宋" w:cs="仿宋"/>
          <w:sz w:val="32"/>
          <w:szCs w:val="32"/>
        </w:rPr>
      </w:pPr>
      <w:r>
        <w:rPr>
          <w:rFonts w:hint="eastAsia" w:ascii="仿宋" w:hAnsi="仿宋" w:eastAsia="仿宋" w:cs="仿宋"/>
          <w:sz w:val="32"/>
          <w:szCs w:val="32"/>
        </w:rPr>
        <w:t>授权代理人：</w:t>
      </w:r>
    </w:p>
    <w:p>
      <w:pPr>
        <w:pStyle w:val="7"/>
        <w:spacing w:line="600" w:lineRule="exact"/>
        <w:ind w:left="3990" w:leftChars="1900"/>
        <w:rPr>
          <w:rFonts w:ascii="仿宋" w:hAnsi="仿宋" w:eastAsia="仿宋" w:cs="仿宋"/>
          <w:sz w:val="32"/>
          <w:szCs w:val="32"/>
        </w:rPr>
      </w:pPr>
      <w:r>
        <w:rPr>
          <w:rFonts w:hint="eastAsia" w:ascii="仿宋" w:hAnsi="仿宋" w:eastAsia="仿宋" w:cs="仿宋"/>
          <w:sz w:val="32"/>
          <w:szCs w:val="32"/>
        </w:rPr>
        <w:t>联系方式：</w:t>
      </w:r>
    </w:p>
    <w:p>
      <w:pPr>
        <w:pStyle w:val="7"/>
        <w:spacing w:line="600" w:lineRule="exact"/>
        <w:ind w:left="3990" w:leftChars="1900"/>
        <w:rPr>
          <w:rFonts w:ascii="仿宋" w:hAnsi="仿宋" w:eastAsia="仿宋" w:cs="仿宋"/>
          <w:sz w:val="32"/>
          <w:szCs w:val="32"/>
        </w:rPr>
      </w:pPr>
      <w:r>
        <w:rPr>
          <w:rFonts w:hint="eastAsia" w:ascii="仿宋" w:hAnsi="仿宋" w:eastAsia="仿宋" w:cs="仿宋"/>
          <w:sz w:val="32"/>
          <w:szCs w:val="32"/>
        </w:rPr>
        <w:t>日期：     年   月  日</w:t>
      </w:r>
    </w:p>
    <w:p>
      <w:pPr>
        <w:pStyle w:val="6"/>
        <w:ind w:left="420" w:firstLine="0" w:firstLineChars="0"/>
        <w:rPr>
          <w:rFonts w:ascii="仿宋" w:hAnsi="仿宋" w:eastAsia="仿宋" w:cs="仿宋"/>
          <w:sz w:val="32"/>
          <w:szCs w:val="32"/>
        </w:rPr>
      </w:pPr>
    </w:p>
    <w:p>
      <w:pPr>
        <w:pStyle w:val="7"/>
        <w:spacing w:line="600" w:lineRule="exact"/>
      </w:pPr>
      <w:r>
        <w:rPr>
          <w:rFonts w:hint="eastAsia" w:ascii="仿宋" w:hAnsi="仿宋" w:eastAsia="仿宋" w:cs="仿宋"/>
          <w:sz w:val="32"/>
          <w:szCs w:val="32"/>
        </w:rPr>
        <w:t>注：二次报价单须单独封装，可递交谈判响应文件前填写也可现场填写。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roma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8235945"/>
    </w:sdtPr>
    <w:sdtContent>
      <w:p>
        <w:pPr>
          <w:pStyle w:val="13"/>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F9E69"/>
    <w:multiLevelType w:val="singleLevel"/>
    <w:tmpl w:val="271F9E69"/>
    <w:lvl w:ilvl="0" w:tentative="0">
      <w:start w:val="1"/>
      <w:numFmt w:val="decimal"/>
      <w:suff w:val="nothing"/>
      <w:lvlText w:val="（%1）"/>
      <w:lvlJc w:val="left"/>
    </w:lvl>
  </w:abstractNum>
  <w:abstractNum w:abstractNumId="1">
    <w:nsid w:val="4CE8FCF8"/>
    <w:multiLevelType w:val="singleLevel"/>
    <w:tmpl w:val="4CE8FCF8"/>
    <w:lvl w:ilvl="0" w:tentative="0">
      <w:start w:val="1"/>
      <w:numFmt w:val="decimal"/>
      <w:suff w:val="nothing"/>
      <w:lvlText w:val="（%1）"/>
      <w:lvlJc w:val="left"/>
    </w:lvl>
  </w:abstractNum>
  <w:abstractNum w:abstractNumId="2">
    <w:nsid w:val="7DC11FA6"/>
    <w:multiLevelType w:val="singleLevel"/>
    <w:tmpl w:val="7DC11FA6"/>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ZTZhNTFmMDRkZWYxZWQzODllMWYwMWY1NmU3M2EifQ=="/>
  </w:docVars>
  <w:rsids>
    <w:rsidRoot w:val="00D72E56"/>
    <w:rsid w:val="000867B9"/>
    <w:rsid w:val="00095E5F"/>
    <w:rsid w:val="000F4BBC"/>
    <w:rsid w:val="00105421"/>
    <w:rsid w:val="002151A8"/>
    <w:rsid w:val="002470D9"/>
    <w:rsid w:val="002723E2"/>
    <w:rsid w:val="002A3130"/>
    <w:rsid w:val="002A4C0F"/>
    <w:rsid w:val="002E7655"/>
    <w:rsid w:val="00343C43"/>
    <w:rsid w:val="00357EF8"/>
    <w:rsid w:val="003A78E5"/>
    <w:rsid w:val="004A7589"/>
    <w:rsid w:val="00526D9A"/>
    <w:rsid w:val="00555338"/>
    <w:rsid w:val="00604FF3"/>
    <w:rsid w:val="00650F9C"/>
    <w:rsid w:val="00667288"/>
    <w:rsid w:val="00680A74"/>
    <w:rsid w:val="00690B14"/>
    <w:rsid w:val="007177D5"/>
    <w:rsid w:val="00743E5E"/>
    <w:rsid w:val="007539DF"/>
    <w:rsid w:val="007C349C"/>
    <w:rsid w:val="008022B4"/>
    <w:rsid w:val="00821715"/>
    <w:rsid w:val="00832740"/>
    <w:rsid w:val="008545A0"/>
    <w:rsid w:val="00861BC8"/>
    <w:rsid w:val="0089036A"/>
    <w:rsid w:val="008D3801"/>
    <w:rsid w:val="00900582"/>
    <w:rsid w:val="009B01C9"/>
    <w:rsid w:val="009F337C"/>
    <w:rsid w:val="00A87BA5"/>
    <w:rsid w:val="00B0071A"/>
    <w:rsid w:val="00B57243"/>
    <w:rsid w:val="00B633D4"/>
    <w:rsid w:val="00C11DE5"/>
    <w:rsid w:val="00C335D4"/>
    <w:rsid w:val="00CE55CE"/>
    <w:rsid w:val="00D4723D"/>
    <w:rsid w:val="00D500C8"/>
    <w:rsid w:val="00D65F07"/>
    <w:rsid w:val="00D72E56"/>
    <w:rsid w:val="00E012F9"/>
    <w:rsid w:val="00E52846"/>
    <w:rsid w:val="00E5736D"/>
    <w:rsid w:val="00E642AE"/>
    <w:rsid w:val="00E769FD"/>
    <w:rsid w:val="00F05BD5"/>
    <w:rsid w:val="00F65F05"/>
    <w:rsid w:val="00F872F3"/>
    <w:rsid w:val="01592C6F"/>
    <w:rsid w:val="017D72A6"/>
    <w:rsid w:val="029D1DC3"/>
    <w:rsid w:val="056C2820"/>
    <w:rsid w:val="06692A2E"/>
    <w:rsid w:val="06B23F3A"/>
    <w:rsid w:val="06EC0495"/>
    <w:rsid w:val="0775765E"/>
    <w:rsid w:val="088C4BF6"/>
    <w:rsid w:val="0B2D65C8"/>
    <w:rsid w:val="0BD75F4C"/>
    <w:rsid w:val="0C0D7236"/>
    <w:rsid w:val="0D093950"/>
    <w:rsid w:val="0FC16FCC"/>
    <w:rsid w:val="10F66B91"/>
    <w:rsid w:val="11C104CD"/>
    <w:rsid w:val="124B2B8A"/>
    <w:rsid w:val="13683ED7"/>
    <w:rsid w:val="15EB304D"/>
    <w:rsid w:val="17A96747"/>
    <w:rsid w:val="17E629FE"/>
    <w:rsid w:val="19207F9A"/>
    <w:rsid w:val="196E217B"/>
    <w:rsid w:val="1C800614"/>
    <w:rsid w:val="1DFE40F1"/>
    <w:rsid w:val="1E9E6A9B"/>
    <w:rsid w:val="1FE81EF2"/>
    <w:rsid w:val="216E4BD2"/>
    <w:rsid w:val="21FC39D7"/>
    <w:rsid w:val="22756399"/>
    <w:rsid w:val="233F5073"/>
    <w:rsid w:val="24A767F6"/>
    <w:rsid w:val="24B04E80"/>
    <w:rsid w:val="250A1A33"/>
    <w:rsid w:val="261C6E85"/>
    <w:rsid w:val="289A3659"/>
    <w:rsid w:val="28EB3607"/>
    <w:rsid w:val="29991F3D"/>
    <w:rsid w:val="2D9C57D6"/>
    <w:rsid w:val="2DD62EF7"/>
    <w:rsid w:val="2DFB0EAA"/>
    <w:rsid w:val="300A76D6"/>
    <w:rsid w:val="316877C6"/>
    <w:rsid w:val="31DB32F7"/>
    <w:rsid w:val="32405B66"/>
    <w:rsid w:val="33985C55"/>
    <w:rsid w:val="341A55B4"/>
    <w:rsid w:val="35A34B24"/>
    <w:rsid w:val="36297F68"/>
    <w:rsid w:val="36B90618"/>
    <w:rsid w:val="375403F6"/>
    <w:rsid w:val="382A23EB"/>
    <w:rsid w:val="38570541"/>
    <w:rsid w:val="38E674C6"/>
    <w:rsid w:val="3AA56DDA"/>
    <w:rsid w:val="3B302835"/>
    <w:rsid w:val="3C217891"/>
    <w:rsid w:val="3C737289"/>
    <w:rsid w:val="3CE002E8"/>
    <w:rsid w:val="403F7CC2"/>
    <w:rsid w:val="411869BE"/>
    <w:rsid w:val="41B671AB"/>
    <w:rsid w:val="44E92DD5"/>
    <w:rsid w:val="454F6C2B"/>
    <w:rsid w:val="4A09524B"/>
    <w:rsid w:val="4BE61068"/>
    <w:rsid w:val="4CD74341"/>
    <w:rsid w:val="4D6008C1"/>
    <w:rsid w:val="4DCE0FCC"/>
    <w:rsid w:val="4E1B438A"/>
    <w:rsid w:val="4E396DE3"/>
    <w:rsid w:val="4ED67545"/>
    <w:rsid w:val="4F817C29"/>
    <w:rsid w:val="53426774"/>
    <w:rsid w:val="54E34CE8"/>
    <w:rsid w:val="55BF6C1A"/>
    <w:rsid w:val="56AF5DA8"/>
    <w:rsid w:val="57860315"/>
    <w:rsid w:val="594154EE"/>
    <w:rsid w:val="5AFC360A"/>
    <w:rsid w:val="5C095BAE"/>
    <w:rsid w:val="5D286A91"/>
    <w:rsid w:val="5DC12828"/>
    <w:rsid w:val="5DCE6626"/>
    <w:rsid w:val="5E9F4156"/>
    <w:rsid w:val="5F4216AA"/>
    <w:rsid w:val="60F71085"/>
    <w:rsid w:val="61F22BA1"/>
    <w:rsid w:val="645116D2"/>
    <w:rsid w:val="650C3E80"/>
    <w:rsid w:val="657D091A"/>
    <w:rsid w:val="6646242D"/>
    <w:rsid w:val="670915F9"/>
    <w:rsid w:val="68E96EA3"/>
    <w:rsid w:val="691F3287"/>
    <w:rsid w:val="69497146"/>
    <w:rsid w:val="6CBE4DA9"/>
    <w:rsid w:val="6CD23631"/>
    <w:rsid w:val="6E370C37"/>
    <w:rsid w:val="6E8C52BE"/>
    <w:rsid w:val="70135CD5"/>
    <w:rsid w:val="703A00C2"/>
    <w:rsid w:val="713E027F"/>
    <w:rsid w:val="71956972"/>
    <w:rsid w:val="71C073B9"/>
    <w:rsid w:val="72C749C8"/>
    <w:rsid w:val="78BB12B6"/>
    <w:rsid w:val="7A0D585E"/>
    <w:rsid w:val="7A95535E"/>
    <w:rsid w:val="7CEB3232"/>
    <w:rsid w:val="7E3F45DE"/>
    <w:rsid w:val="7F133F9B"/>
    <w:rsid w:val="7F65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6"/>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qFormat/>
    <w:uiPriority w:val="0"/>
    <w:pPr>
      <w:ind w:firstLine="420" w:firstLineChars="200"/>
    </w:pPr>
    <w:rPr>
      <w:szCs w:val="24"/>
    </w:rPr>
  </w:style>
  <w:style w:type="paragraph" w:styleId="7">
    <w:name w:val="Body Text"/>
    <w:basedOn w:val="1"/>
    <w:next w:val="1"/>
    <w:qFormat/>
    <w:uiPriority w:val="99"/>
    <w:pPr>
      <w:spacing w:after="120"/>
    </w:pPr>
    <w:rPr>
      <w:szCs w:val="24"/>
    </w:rPr>
  </w:style>
  <w:style w:type="paragraph" w:styleId="8">
    <w:name w:val="Body Text Indent"/>
    <w:basedOn w:val="1"/>
    <w:qFormat/>
    <w:uiPriority w:val="0"/>
    <w:pPr>
      <w:ind w:left="630" w:hanging="630" w:hangingChars="300"/>
    </w:pPr>
    <w:rPr>
      <w:szCs w:val="24"/>
    </w:rPr>
  </w:style>
  <w:style w:type="paragraph" w:styleId="9">
    <w:name w:val="toc 3"/>
    <w:basedOn w:val="1"/>
    <w:next w:val="1"/>
    <w:qFormat/>
    <w:uiPriority w:val="39"/>
    <w:pPr>
      <w:ind w:left="840" w:leftChars="400"/>
    </w:pPr>
  </w:style>
  <w:style w:type="paragraph" w:styleId="10">
    <w:name w:val="Date"/>
    <w:basedOn w:val="1"/>
    <w:next w:val="1"/>
    <w:unhideWhenUsed/>
    <w:qFormat/>
    <w:uiPriority w:val="0"/>
    <w:pPr>
      <w:ind w:left="100" w:leftChars="2500"/>
    </w:pPr>
  </w:style>
  <w:style w:type="paragraph" w:styleId="11">
    <w:name w:val="Body Text Indent 2"/>
    <w:basedOn w:val="1"/>
    <w:qFormat/>
    <w:uiPriority w:val="0"/>
    <w:pPr>
      <w:spacing w:after="120" w:line="480" w:lineRule="auto"/>
      <w:ind w:left="420" w:leftChars="200"/>
    </w:pPr>
    <w:rPr>
      <w:szCs w:val="24"/>
    </w:rPr>
  </w:style>
  <w:style w:type="paragraph" w:styleId="12">
    <w:name w:val="Balloon Text"/>
    <w:basedOn w:val="1"/>
    <w:link w:val="30"/>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0"/>
    <w:rPr>
      <w:sz w:val="24"/>
    </w:rPr>
  </w:style>
  <w:style w:type="paragraph" w:styleId="18">
    <w:name w:val="Body Text First Indent 2"/>
    <w:basedOn w:val="8"/>
    <w:unhideWhenUsed/>
    <w:qFormat/>
    <w:uiPriority w:val="99"/>
    <w:pPr>
      <w:spacing w:after="120"/>
      <w:ind w:left="420" w:leftChars="200" w:firstLine="420" w:firstLineChars="200"/>
    </w:pPr>
    <w:rPr>
      <w:rFonts w:eastAsia="宋?"/>
    </w:rPr>
  </w:style>
  <w:style w:type="character" w:styleId="21">
    <w:name w:val="Hyperlink"/>
    <w:basedOn w:val="20"/>
    <w:qFormat/>
    <w:uiPriority w:val="99"/>
    <w:rPr>
      <w:color w:val="0000FF"/>
      <w:u w:val="single"/>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Table Paragraph"/>
    <w:basedOn w:val="1"/>
    <w:qFormat/>
    <w:uiPriority w:val="1"/>
    <w:rPr>
      <w:rFonts w:ascii="宋体" w:hAnsi="宋体" w:cs="宋体"/>
      <w:lang w:val="zh-CN" w:bidi="zh-CN"/>
    </w:rPr>
  </w:style>
  <w:style w:type="paragraph" w:customStyle="1" w:styleId="24">
    <w:name w:val="样式1"/>
    <w:basedOn w:val="1"/>
    <w:qFormat/>
    <w:uiPriority w:val="0"/>
    <w:pPr>
      <w:spacing w:line="360" w:lineRule="auto"/>
      <w:jc w:val="center"/>
    </w:pPr>
    <w:rPr>
      <w:rFonts w:ascii="Calibri" w:hAnsi="Calibri"/>
      <w:sz w:val="24"/>
      <w:szCs w:val="22"/>
    </w:rPr>
  </w:style>
  <w:style w:type="paragraph" w:customStyle="1" w:styleId="2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b w:val="0"/>
      <w:bCs w:val="0"/>
      <w:kern w:val="0"/>
      <w:sz w:val="28"/>
      <w:szCs w:val="20"/>
    </w:rPr>
  </w:style>
  <w:style w:type="paragraph" w:customStyle="1" w:styleId="26">
    <w:name w:val="Body Text First Indent 21"/>
    <w:basedOn w:val="27"/>
    <w:qFormat/>
    <w:uiPriority w:val="0"/>
    <w:pPr>
      <w:spacing w:line="440" w:lineRule="atLeast"/>
      <w:ind w:firstLine="420"/>
    </w:pPr>
    <w:rPr>
      <w:sz w:val="28"/>
    </w:rPr>
  </w:style>
  <w:style w:type="paragraph" w:customStyle="1" w:styleId="27">
    <w:name w:val="Body Text Indent1"/>
    <w:basedOn w:val="1"/>
    <w:qFormat/>
    <w:uiPriority w:val="0"/>
    <w:pPr>
      <w:spacing w:after="120" w:line="360" w:lineRule="auto"/>
      <w:ind w:left="420" w:leftChars="200" w:firstLine="200" w:firstLineChars="200"/>
    </w:pPr>
    <w:rPr>
      <w:rFonts w:eastAsia="仿宋_GB2312"/>
      <w:sz w:val="24"/>
    </w:rPr>
  </w:style>
  <w:style w:type="character" w:customStyle="1" w:styleId="28">
    <w:name w:val="页脚 Char"/>
    <w:basedOn w:val="20"/>
    <w:link w:val="13"/>
    <w:qFormat/>
    <w:uiPriority w:val="99"/>
    <w:rPr>
      <w:rFonts w:ascii="Times New Roman" w:hAnsi="Times New Roman" w:eastAsia="宋体" w:cs="Times New Roman"/>
      <w:kern w:val="2"/>
      <w:sz w:val="18"/>
    </w:rPr>
  </w:style>
  <w:style w:type="paragraph" w:customStyle="1" w:styleId="2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30">
    <w:name w:val="批注框文本 Char"/>
    <w:basedOn w:val="20"/>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93634-3C49-4961-BBB5-3F3F73F3259A}">
  <ds:schemaRefs/>
</ds:datastoreItem>
</file>

<file path=docProps/app.xml><?xml version="1.0" encoding="utf-8"?>
<Properties xmlns="http://schemas.openxmlformats.org/officeDocument/2006/extended-properties" xmlns:vt="http://schemas.openxmlformats.org/officeDocument/2006/docPropsVTypes">
  <Template>Normal</Template>
  <Pages>41</Pages>
  <Words>2297</Words>
  <Characters>13093</Characters>
  <Lines>109</Lines>
  <Paragraphs>30</Paragraphs>
  <TotalTime>47</TotalTime>
  <ScaleCrop>false</ScaleCrop>
  <LinksUpToDate>false</LinksUpToDate>
  <CharactersWithSpaces>15360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2022-03-18T08:52:00Z</dcterms:created>
  <dc:creator>唐永森</dc:creator>
  <cp:lastModifiedBy>MEOW</cp:lastModifiedBy>
  <cp:lastPrinted>2022-03-31T02:22:00Z</cp:lastPrinted>
  <dcterms:modified xsi:type="dcterms:W3CDTF">2022-10-16T07:49:07Z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C20DFFB6F7894D1DAE9DAD5661AF4C8F</vt:lpwstr>
  </property>
</Properties>
</file>